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22BB" w14:textId="15878A33" w:rsidR="0022113C" w:rsidRPr="00F96BB0" w:rsidRDefault="0022113C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b/>
          <w:color w:val="17365D" w:themeColor="text2" w:themeShade="BF"/>
          <w:szCs w:val="22"/>
          <w:lang w:val="en-US"/>
        </w:rPr>
      </w:pPr>
      <w:bookmarkStart w:id="0" w:name="Code"/>
      <w:bookmarkEnd w:id="0"/>
      <w:r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 xml:space="preserve">Innovation </w:t>
      </w:r>
      <w:r w:rsidR="001A06EC">
        <w:rPr>
          <w:rFonts w:ascii="Arial" w:hAnsi="Arial" w:cs="Arial"/>
          <w:b/>
          <w:color w:val="17365D" w:themeColor="text2" w:themeShade="BF"/>
          <w:szCs w:val="22"/>
          <w:lang w:val="en-US"/>
        </w:rPr>
        <w:t>in</w:t>
      </w:r>
      <w:r w:rsidR="00792330"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 xml:space="preserve">, </w:t>
      </w:r>
      <w:r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 xml:space="preserve">and </w:t>
      </w:r>
      <w:r w:rsidR="00792330"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 xml:space="preserve">access </w:t>
      </w:r>
      <w:r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>to</w:t>
      </w:r>
      <w:r w:rsidR="00792330"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>,</w:t>
      </w:r>
      <w:r w:rsidRPr="00F96BB0">
        <w:rPr>
          <w:rFonts w:ascii="Arial" w:hAnsi="Arial" w:cs="Arial"/>
          <w:b/>
          <w:color w:val="17365D" w:themeColor="text2" w:themeShade="BF"/>
          <w:szCs w:val="22"/>
          <w:lang w:val="en-US"/>
        </w:rPr>
        <w:t xml:space="preserve"> new and emerging health technologies </w:t>
      </w:r>
    </w:p>
    <w:p w14:paraId="0AD05FEA" w14:textId="77777777" w:rsidR="0022113C" w:rsidRPr="00F96BB0" w:rsidRDefault="0022113C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color w:val="17365D" w:themeColor="text2" w:themeShade="BF"/>
          <w:szCs w:val="22"/>
          <w:lang w:val="en-US"/>
        </w:rPr>
      </w:pPr>
    </w:p>
    <w:p w14:paraId="76FC50C6" w14:textId="6F627C97" w:rsidR="0022113C" w:rsidRDefault="0022113C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color w:val="17365D" w:themeColor="text2" w:themeShade="BF"/>
          <w:szCs w:val="22"/>
          <w:lang w:val="en-US"/>
        </w:rPr>
      </w:pPr>
      <w:r w:rsidRPr="00F96BB0">
        <w:rPr>
          <w:rFonts w:ascii="Arial" w:hAnsi="Arial" w:cs="Arial"/>
          <w:color w:val="17365D" w:themeColor="text2" w:themeShade="BF"/>
          <w:szCs w:val="22"/>
          <w:lang w:val="en-US"/>
        </w:rPr>
        <w:t xml:space="preserve">A </w:t>
      </w:r>
      <w:r w:rsidR="00792330" w:rsidRPr="00F96BB0">
        <w:rPr>
          <w:rFonts w:ascii="Arial" w:hAnsi="Arial" w:cs="Arial"/>
          <w:color w:val="17365D" w:themeColor="text2" w:themeShade="BF"/>
          <w:szCs w:val="22"/>
          <w:lang w:val="en-US"/>
        </w:rPr>
        <w:t>j</w:t>
      </w:r>
      <w:r w:rsidRPr="00F96BB0">
        <w:rPr>
          <w:rFonts w:ascii="Arial" w:hAnsi="Arial" w:cs="Arial"/>
          <w:color w:val="17365D" w:themeColor="text2" w:themeShade="BF"/>
          <w:szCs w:val="22"/>
          <w:lang w:val="en-US"/>
        </w:rPr>
        <w:t>oint technical symposium by the World Health Organization (WHO), the World Intellectual Property Organization (WIPO) and the World Trade Organization (WTO)</w:t>
      </w:r>
    </w:p>
    <w:p w14:paraId="3052ABEF" w14:textId="77777777" w:rsidR="009F1F04" w:rsidRDefault="009F1F04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color w:val="17365D" w:themeColor="text2" w:themeShade="BF"/>
          <w:szCs w:val="22"/>
          <w:lang w:val="en-US"/>
        </w:rPr>
      </w:pPr>
    </w:p>
    <w:p w14:paraId="011B449C" w14:textId="6E9ACC0F" w:rsidR="009F1F04" w:rsidRDefault="009F1F04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color w:val="17365D" w:themeColor="text2" w:themeShade="BF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Cs w:val="22"/>
          <w:lang w:val="en-US"/>
        </w:rPr>
        <w:t>WTO, Room W</w:t>
      </w:r>
    </w:p>
    <w:p w14:paraId="43934C4B" w14:textId="77777777" w:rsidR="009F1F04" w:rsidRPr="00F96BB0" w:rsidRDefault="009F1F04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color w:val="17365D" w:themeColor="text2" w:themeShade="BF"/>
          <w:szCs w:val="22"/>
          <w:lang w:val="en-US"/>
        </w:rPr>
      </w:pPr>
    </w:p>
    <w:p w14:paraId="48B3A1AF" w14:textId="2EC57EC6" w:rsidR="00A843AA" w:rsidRPr="00F96BB0" w:rsidRDefault="0022113C" w:rsidP="0022113C">
      <w:pPr>
        <w:tabs>
          <w:tab w:val="clear" w:pos="720"/>
        </w:tabs>
        <w:spacing w:before="480" w:after="480"/>
        <w:contextualSpacing/>
        <w:jc w:val="center"/>
        <w:rPr>
          <w:rFonts w:ascii="Arial" w:hAnsi="Arial" w:cs="Arial"/>
          <w:color w:val="17365D" w:themeColor="text2" w:themeShade="BF"/>
          <w:szCs w:val="22"/>
          <w:lang w:val="en-US"/>
        </w:rPr>
      </w:pPr>
      <w:r w:rsidRPr="00F96BB0">
        <w:rPr>
          <w:rFonts w:ascii="Arial" w:hAnsi="Arial" w:cs="Arial"/>
          <w:color w:val="17365D" w:themeColor="text2" w:themeShade="BF"/>
          <w:szCs w:val="22"/>
          <w:lang w:val="en-US"/>
        </w:rPr>
        <w:t>Geneva, 31 October 2019</w:t>
      </w:r>
    </w:p>
    <w:p w14:paraId="2E4E83D4" w14:textId="77777777" w:rsidR="009C7744" w:rsidRPr="00F96BB0" w:rsidRDefault="009C7744" w:rsidP="00786ADA">
      <w:pPr>
        <w:tabs>
          <w:tab w:val="clear" w:pos="720"/>
        </w:tabs>
        <w:spacing w:before="480" w:after="840"/>
        <w:contextualSpacing/>
        <w:jc w:val="left"/>
        <w:rPr>
          <w:rFonts w:ascii="Arial" w:hAnsi="Arial" w:cs="Arial"/>
          <w:b/>
          <w:color w:val="17365D" w:themeColor="text2" w:themeShade="BF"/>
          <w:szCs w:val="22"/>
          <w:lang w:val="en-US"/>
        </w:rPr>
      </w:pPr>
    </w:p>
    <w:p w14:paraId="082D9E99" w14:textId="5054151C" w:rsidR="00A50A02" w:rsidRDefault="00A50A02" w:rsidP="00C626FD">
      <w:pPr>
        <w:ind w:right="-472"/>
        <w:jc w:val="left"/>
        <w:rPr>
          <w:rFonts w:ascii="Arial" w:hAnsi="Arial" w:cs="Arial"/>
          <w:b/>
          <w:color w:val="17365D" w:themeColor="text2" w:themeShade="BF"/>
          <w:szCs w:val="22"/>
          <w:lang w:val="en-US"/>
        </w:rPr>
      </w:pPr>
    </w:p>
    <w:p w14:paraId="49C12D5F" w14:textId="0AC1351B" w:rsidR="004E3C7C" w:rsidRDefault="007B5B71" w:rsidP="00F96BB0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7E58D5">
        <w:rPr>
          <w:rFonts w:ascii="Arial" w:hAnsi="Arial" w:cs="Arial"/>
          <w:color w:val="17365D" w:themeColor="text2" w:themeShade="BF"/>
          <w:szCs w:val="22"/>
        </w:rPr>
        <w:t xml:space="preserve">Innovation </w:t>
      </w:r>
      <w:r w:rsidR="001A06EC">
        <w:rPr>
          <w:rFonts w:ascii="Arial" w:hAnsi="Arial" w:cs="Arial"/>
          <w:color w:val="17365D" w:themeColor="text2" w:themeShade="BF"/>
          <w:szCs w:val="22"/>
        </w:rPr>
        <w:t>in,</w:t>
      </w:r>
      <w:r w:rsidR="00863632" w:rsidRPr="007E58D5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7E58D5">
        <w:rPr>
          <w:rFonts w:ascii="Arial" w:hAnsi="Arial" w:cs="Arial"/>
          <w:color w:val="17365D" w:themeColor="text2" w:themeShade="BF"/>
          <w:szCs w:val="22"/>
        </w:rPr>
        <w:t>and access to</w:t>
      </w:r>
      <w:r w:rsidR="001A06EC">
        <w:rPr>
          <w:rFonts w:ascii="Arial" w:hAnsi="Arial" w:cs="Arial"/>
          <w:color w:val="17365D" w:themeColor="text2" w:themeShade="BF"/>
          <w:szCs w:val="22"/>
        </w:rPr>
        <w:t>,</w:t>
      </w:r>
      <w:r w:rsidR="00863632" w:rsidRPr="007E58D5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7E58D5">
        <w:rPr>
          <w:rFonts w:ascii="Arial" w:hAnsi="Arial" w:cs="Arial"/>
          <w:color w:val="17365D" w:themeColor="text2" w:themeShade="BF"/>
          <w:szCs w:val="22"/>
        </w:rPr>
        <w:t xml:space="preserve">health technologies </w:t>
      </w:r>
      <w:r w:rsidR="00112984" w:rsidRPr="007E58D5">
        <w:rPr>
          <w:rFonts w:ascii="Arial" w:hAnsi="Arial" w:cs="Arial"/>
          <w:color w:val="17365D" w:themeColor="text2" w:themeShade="BF"/>
          <w:szCs w:val="22"/>
        </w:rPr>
        <w:t>are</w:t>
      </w:r>
      <w:r w:rsidRPr="007E58D5">
        <w:rPr>
          <w:rFonts w:ascii="Arial" w:hAnsi="Arial" w:cs="Arial"/>
          <w:color w:val="17365D" w:themeColor="text2" w:themeShade="BF"/>
          <w:szCs w:val="22"/>
        </w:rPr>
        <w:t xml:space="preserve"> requisite element</w:t>
      </w:r>
      <w:r w:rsidR="00112984" w:rsidRPr="007E58D5">
        <w:rPr>
          <w:rFonts w:ascii="Arial" w:hAnsi="Arial" w:cs="Arial"/>
          <w:color w:val="17365D" w:themeColor="text2" w:themeShade="BF"/>
          <w:szCs w:val="22"/>
        </w:rPr>
        <w:t>s</w:t>
      </w:r>
      <w:r w:rsidRPr="007E58D5">
        <w:rPr>
          <w:rFonts w:ascii="Arial" w:hAnsi="Arial" w:cs="Arial"/>
          <w:color w:val="17365D" w:themeColor="text2" w:themeShade="BF"/>
          <w:szCs w:val="22"/>
        </w:rPr>
        <w:t xml:space="preserve"> for ensuring progress toward universal health coverage</w:t>
      </w:r>
      <w:r w:rsidR="00F96BB0" w:rsidRPr="007E58D5">
        <w:rPr>
          <w:rFonts w:ascii="Arial" w:hAnsi="Arial" w:cs="Arial"/>
          <w:color w:val="17365D" w:themeColor="text2" w:themeShade="BF"/>
          <w:szCs w:val="22"/>
        </w:rPr>
        <w:t>,</w:t>
      </w:r>
      <w:r w:rsidRPr="007E58D5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F96BB0" w:rsidRPr="007E58D5">
        <w:rPr>
          <w:rFonts w:ascii="Arial" w:hAnsi="Arial" w:cs="Arial"/>
          <w:color w:val="17365D" w:themeColor="text2" w:themeShade="BF"/>
          <w:szCs w:val="22"/>
        </w:rPr>
        <w:t xml:space="preserve">the right of everyone to enjoy the highest attainable standard of physical and mental health, </w:t>
      </w:r>
      <w:r w:rsidRPr="007E58D5">
        <w:rPr>
          <w:rFonts w:ascii="Arial" w:hAnsi="Arial" w:cs="Arial"/>
          <w:color w:val="17365D" w:themeColor="text2" w:themeShade="BF"/>
          <w:szCs w:val="22"/>
        </w:rPr>
        <w:t xml:space="preserve">and </w:t>
      </w:r>
      <w:r w:rsidR="00F96BB0" w:rsidRPr="007E58D5">
        <w:rPr>
          <w:rFonts w:ascii="Arial" w:hAnsi="Arial" w:cs="Arial"/>
          <w:color w:val="17365D" w:themeColor="text2" w:themeShade="BF"/>
          <w:szCs w:val="22"/>
        </w:rPr>
        <w:t xml:space="preserve">the </w:t>
      </w:r>
      <w:r w:rsidRPr="007E58D5">
        <w:rPr>
          <w:rFonts w:ascii="Arial" w:hAnsi="Arial" w:cs="Arial"/>
          <w:color w:val="17365D" w:themeColor="text2" w:themeShade="BF"/>
          <w:szCs w:val="22"/>
        </w:rPr>
        <w:t>achievement of the health-related Sustainable Development Goals. Scientific progress and advances in health technologies</w:t>
      </w:r>
      <w:r w:rsidR="00A50A02" w:rsidRPr="007E58D5">
        <w:rPr>
          <w:rFonts w:ascii="Arial" w:hAnsi="Arial" w:cs="Arial"/>
          <w:color w:val="17365D" w:themeColor="text2" w:themeShade="BF"/>
          <w:szCs w:val="22"/>
        </w:rPr>
        <w:t>, in</w:t>
      </w:r>
      <w:r w:rsidR="009F1F04" w:rsidRPr="007E58D5">
        <w:rPr>
          <w:rFonts w:ascii="Arial" w:hAnsi="Arial" w:cs="Arial"/>
          <w:color w:val="17365D" w:themeColor="text2" w:themeShade="BF"/>
          <w:szCs w:val="22"/>
        </w:rPr>
        <w:t>c</w:t>
      </w:r>
      <w:r w:rsidR="00A50A02" w:rsidRPr="007E58D5">
        <w:rPr>
          <w:rFonts w:ascii="Arial" w:hAnsi="Arial" w:cs="Arial"/>
          <w:color w:val="17365D" w:themeColor="text2" w:themeShade="BF"/>
          <w:szCs w:val="22"/>
        </w:rPr>
        <w:t>luding</w:t>
      </w:r>
      <w:r w:rsidR="00C626FD" w:rsidRPr="007E58D5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863632" w:rsidRPr="007E58D5">
        <w:rPr>
          <w:rFonts w:ascii="Arial" w:hAnsi="Arial" w:cs="Arial"/>
          <w:color w:val="17365D" w:themeColor="text2" w:themeShade="BF"/>
          <w:szCs w:val="22"/>
        </w:rPr>
        <w:t>medicines, vaccines,</w:t>
      </w:r>
      <w:r w:rsidR="00810171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863632" w:rsidRPr="007E58D5">
        <w:rPr>
          <w:rFonts w:ascii="Arial" w:hAnsi="Arial" w:cs="Arial"/>
          <w:color w:val="17365D" w:themeColor="text2" w:themeShade="BF"/>
          <w:szCs w:val="22"/>
        </w:rPr>
        <w:t>medical devices</w:t>
      </w:r>
      <w:r w:rsidR="00810171">
        <w:rPr>
          <w:rFonts w:ascii="Arial" w:hAnsi="Arial" w:cs="Arial"/>
          <w:color w:val="17365D" w:themeColor="text2" w:themeShade="BF"/>
          <w:szCs w:val="22"/>
        </w:rPr>
        <w:t>, diagnostics, assistive products, cell- and gene-based therapies, and other health technologies</w:t>
      </w:r>
      <w:r w:rsidR="00244E5F" w:rsidRPr="007E58D5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7E58D5">
        <w:rPr>
          <w:rFonts w:ascii="Arial" w:hAnsi="Arial" w:cs="Arial"/>
          <w:color w:val="17365D" w:themeColor="text2" w:themeShade="BF"/>
          <w:szCs w:val="22"/>
        </w:rPr>
        <w:t>have contributed to unprecedented improvements in health outcomes.</w:t>
      </w:r>
      <w:r w:rsidR="004E3C7C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4E3C7C" w:rsidRPr="004E3C7C">
        <w:rPr>
          <w:rFonts w:ascii="Arial" w:hAnsi="Arial" w:cs="Arial"/>
          <w:color w:val="17365D" w:themeColor="text2" w:themeShade="BF"/>
          <w:szCs w:val="22"/>
        </w:rPr>
        <w:t>New and emerging technologies open previously unknown diagnostic and treatment options, having the potential of making an essential contribution to the achievement of universal health coverage.</w:t>
      </w:r>
    </w:p>
    <w:p w14:paraId="14D82D53" w14:textId="77777777" w:rsidR="004E3C7C" w:rsidRDefault="004E3C7C" w:rsidP="00F96BB0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5CA0B1A6" w14:textId="12F67AF8" w:rsidR="005E1CC2" w:rsidRPr="007E58D5" w:rsidRDefault="0032606A" w:rsidP="00F96BB0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7E58D5">
        <w:rPr>
          <w:rFonts w:ascii="Arial" w:hAnsi="Arial" w:cs="Arial"/>
          <w:color w:val="17365D" w:themeColor="text2" w:themeShade="BF"/>
          <w:szCs w:val="22"/>
        </w:rPr>
        <w:t xml:space="preserve">Despite these great advances, significant challenges remain. </w:t>
      </w:r>
      <w:r w:rsidR="007E58D5">
        <w:rPr>
          <w:rFonts w:ascii="Arial" w:hAnsi="Arial" w:cs="Arial"/>
          <w:color w:val="17365D" w:themeColor="text2" w:themeShade="BF"/>
          <w:szCs w:val="22"/>
        </w:rPr>
        <w:t>G</w:t>
      </w:r>
      <w:r w:rsidR="00E37568" w:rsidRPr="007E58D5">
        <w:rPr>
          <w:rFonts w:ascii="Arial" w:hAnsi="Arial" w:cs="Arial"/>
          <w:color w:val="17365D" w:themeColor="text2" w:themeShade="BF"/>
          <w:szCs w:val="22"/>
        </w:rPr>
        <w:t xml:space="preserve">ains in life expectancy and quality of life are unequally shared or distributed between low-, middle-, and high-income countries. Troubling inequalities in the burden of disease are, in part, attributed to the disparate access to safe, effective, quality and affordable essential medicines and vaccines. </w:t>
      </w:r>
    </w:p>
    <w:p w14:paraId="7DA54353" w14:textId="77777777" w:rsidR="005969A7" w:rsidRPr="00F96BB0" w:rsidRDefault="005969A7" w:rsidP="003F0C15">
      <w:pPr>
        <w:ind w:right="-472"/>
        <w:jc w:val="left"/>
        <w:rPr>
          <w:rFonts w:ascii="Arial" w:hAnsi="Arial" w:cs="Arial"/>
          <w:color w:val="17365D" w:themeColor="text2" w:themeShade="BF"/>
          <w:szCs w:val="22"/>
        </w:rPr>
      </w:pPr>
    </w:p>
    <w:p w14:paraId="04973512" w14:textId="488307A7" w:rsidR="00CE3076" w:rsidRPr="00C5360B" w:rsidRDefault="009F1F04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bookmarkStart w:id="1" w:name="_Hlk14101950"/>
      <w:r w:rsidRPr="00F96BB0">
        <w:rPr>
          <w:rFonts w:ascii="Arial" w:hAnsi="Arial" w:cs="Arial"/>
          <w:color w:val="17365D" w:themeColor="text2" w:themeShade="BF"/>
          <w:szCs w:val="22"/>
        </w:rPr>
        <w:t>Th</w:t>
      </w:r>
      <w:r>
        <w:rPr>
          <w:rFonts w:ascii="Arial" w:hAnsi="Arial" w:cs="Arial"/>
          <w:color w:val="17365D" w:themeColor="text2" w:themeShade="BF"/>
          <w:szCs w:val="22"/>
        </w:rPr>
        <w:t>is year's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 Symposium offers a forum for an evidence-based exchange of views and experiences among stakeholders and representatives from different sectors. Innovative, inclusive, and multi-stakeholder initiatives and partnerships that research, develop and facilitate access to novel, needs-based </w:t>
      </w:r>
      <w:r w:rsidRPr="00C5360B">
        <w:rPr>
          <w:rFonts w:ascii="Arial" w:hAnsi="Arial" w:cs="Arial"/>
          <w:color w:val="17365D" w:themeColor="text2" w:themeShade="BF"/>
          <w:szCs w:val="22"/>
        </w:rPr>
        <w:t>health technologies will be highlighted.</w:t>
      </w:r>
      <w:r w:rsidR="007E58D5" w:rsidRPr="00C5360B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C5360B">
        <w:rPr>
          <w:rFonts w:ascii="Arial" w:hAnsi="Arial" w:cs="Arial"/>
          <w:color w:val="17365D" w:themeColor="text2" w:themeShade="BF"/>
          <w:szCs w:val="22"/>
        </w:rPr>
        <w:t>The Symposium aims at a better understanding of the impact of emerging technologies in achieving universal health coverage and to assist participants to better assess policy options and envisage possible ways forward</w:t>
      </w:r>
      <w:r w:rsidR="00C5360B" w:rsidRPr="00C5360B">
        <w:rPr>
          <w:rFonts w:ascii="Arial" w:hAnsi="Arial" w:cs="Arial"/>
          <w:color w:val="17365D" w:themeColor="text2" w:themeShade="BF"/>
          <w:szCs w:val="22"/>
        </w:rPr>
        <w:t>.</w:t>
      </w:r>
      <w:r w:rsidR="00262FCE" w:rsidRPr="00C5360B">
        <w:rPr>
          <w:rFonts w:ascii="Arial" w:hAnsi="Arial" w:cs="Arial"/>
          <w:color w:val="17365D" w:themeColor="text2" w:themeShade="BF"/>
          <w:szCs w:val="22"/>
        </w:rPr>
        <w:t xml:space="preserve"> </w:t>
      </w:r>
    </w:p>
    <w:p w14:paraId="54B90AA5" w14:textId="77777777" w:rsidR="00262FCE" w:rsidRPr="00C5360B" w:rsidRDefault="00262FCE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bookmarkStart w:id="2" w:name="_Hlk14081145"/>
    </w:p>
    <w:p w14:paraId="4814C7E1" w14:textId="7087198E" w:rsidR="000A3F09" w:rsidRPr="00F96BB0" w:rsidRDefault="00C5360B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C5360B">
        <w:rPr>
          <w:rFonts w:ascii="Arial" w:hAnsi="Arial" w:cs="Arial"/>
          <w:color w:val="17365D" w:themeColor="text2" w:themeShade="BF"/>
          <w:szCs w:val="22"/>
        </w:rPr>
        <w:t xml:space="preserve">The </w:t>
      </w:r>
      <w:r w:rsidR="00CD7EC6" w:rsidRPr="00C5360B">
        <w:rPr>
          <w:rFonts w:ascii="Arial" w:hAnsi="Arial" w:cs="Arial"/>
          <w:color w:val="17365D" w:themeColor="text2" w:themeShade="BF"/>
          <w:szCs w:val="22"/>
        </w:rPr>
        <w:t>f</w:t>
      </w:r>
      <w:r w:rsidR="005969A7" w:rsidRPr="00C5360B">
        <w:rPr>
          <w:rFonts w:ascii="Arial" w:hAnsi="Arial" w:cs="Arial"/>
          <w:color w:val="17365D" w:themeColor="text2" w:themeShade="BF"/>
          <w:szCs w:val="22"/>
        </w:rPr>
        <w:t>irst panel will introduce new and</w:t>
      </w:r>
      <w:r w:rsidR="005969A7" w:rsidRPr="00F96BB0">
        <w:rPr>
          <w:rFonts w:ascii="Arial" w:hAnsi="Arial" w:cs="Arial"/>
          <w:color w:val="17365D" w:themeColor="text2" w:themeShade="BF"/>
          <w:szCs w:val="22"/>
        </w:rPr>
        <w:t xml:space="preserve"> emerging technologies and outline options and perspectives for future health outcomes. 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 xml:space="preserve">Biotechnology has been able to develop new diagnostic tools and treatment methods as well as innovative biotherapeutic pharmaceutical products. Information technology (IT) has </w:t>
      </w:r>
      <w:r w:rsidR="001A06EC" w:rsidRPr="00F96BB0">
        <w:rPr>
          <w:rFonts w:ascii="Arial" w:hAnsi="Arial" w:cs="Arial"/>
          <w:color w:val="17365D" w:themeColor="text2" w:themeShade="BF"/>
          <w:szCs w:val="22"/>
        </w:rPr>
        <w:t>entered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 xml:space="preserve"> all relevant health fields and is used by health administration professionals to facilitate healthcare data management. </w:t>
      </w:r>
      <w:r w:rsidR="00CD7EC6">
        <w:rPr>
          <w:rFonts w:ascii="Arial" w:hAnsi="Arial" w:cs="Arial"/>
          <w:color w:val="17365D" w:themeColor="text2" w:themeShade="BF"/>
          <w:szCs w:val="22"/>
        </w:rPr>
        <w:t>M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>edical and assistive devices</w:t>
      </w:r>
      <w:r w:rsidR="00F9373C" w:rsidRPr="00F96BB0">
        <w:rPr>
          <w:rFonts w:ascii="Arial" w:hAnsi="Arial" w:cs="Arial"/>
          <w:color w:val="17365D" w:themeColor="text2" w:themeShade="BF"/>
          <w:szCs w:val="22"/>
        </w:rPr>
        <w:t xml:space="preserve"> can produce a wealth of data as they fulfil their therapeutic functions</w:t>
      </w:r>
      <w:r w:rsidR="00CD7EC6">
        <w:rPr>
          <w:rFonts w:ascii="Arial" w:hAnsi="Arial" w:cs="Arial"/>
          <w:color w:val="17365D" w:themeColor="text2" w:themeShade="BF"/>
          <w:szCs w:val="22"/>
        </w:rPr>
        <w:t xml:space="preserve">. 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>Such data can be used as a better empirical basis for system-wide improvements. Data can also be processed directly in advanced IT systems in an increasingly autonomous mann</w:t>
      </w:r>
      <w:r w:rsidR="001A06EC">
        <w:rPr>
          <w:rFonts w:ascii="Arial" w:hAnsi="Arial" w:cs="Arial"/>
          <w:color w:val="17365D" w:themeColor="text2" w:themeShade="BF"/>
          <w:szCs w:val="22"/>
        </w:rPr>
        <w:t>er to analyse health conditions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 xml:space="preserve"> and to adapt and personalize treatments to individuals.</w:t>
      </w:r>
      <w:r w:rsidR="00F9373C" w:rsidRPr="00F96BB0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9F1F04">
        <w:rPr>
          <w:rFonts w:ascii="Arial" w:hAnsi="Arial" w:cs="Arial"/>
          <w:color w:val="17365D" w:themeColor="text2" w:themeShade="BF"/>
          <w:szCs w:val="22"/>
        </w:rPr>
        <w:t>IT</w:t>
      </w:r>
      <w:r w:rsidR="009F1F04" w:rsidRPr="00F96BB0">
        <w:rPr>
          <w:rFonts w:ascii="Arial" w:hAnsi="Arial" w:cs="Arial"/>
          <w:color w:val="17365D" w:themeColor="text2" w:themeShade="BF"/>
          <w:szCs w:val="22"/>
        </w:rPr>
        <w:t xml:space="preserve"> plays an increasing role in diagnosis, research and development (R&amp;D), and treatment, including efforts to provide more personalized treatment.</w:t>
      </w:r>
      <w:r w:rsidR="003C0EB0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7E58D5">
        <w:rPr>
          <w:rFonts w:ascii="Arial" w:hAnsi="Arial" w:cs="Arial"/>
          <w:color w:val="17365D" w:themeColor="text2" w:themeShade="BF"/>
          <w:szCs w:val="22"/>
        </w:rPr>
        <w:t>R</w:t>
      </w:r>
      <w:r w:rsidR="003C0EB0" w:rsidRPr="00FE6A05">
        <w:rPr>
          <w:rFonts w:ascii="Arial" w:hAnsi="Arial" w:cs="Arial"/>
          <w:color w:val="17365D" w:themeColor="text2" w:themeShade="BF"/>
          <w:szCs w:val="22"/>
        </w:rPr>
        <w:t>esponding to the evolving global disease burden requires further innovation</w:t>
      </w:r>
      <w:r w:rsidR="002F07F9">
        <w:rPr>
          <w:rFonts w:ascii="Arial" w:hAnsi="Arial" w:cs="Arial"/>
          <w:color w:val="17365D" w:themeColor="text2" w:themeShade="BF"/>
          <w:szCs w:val="22"/>
        </w:rPr>
        <w:t xml:space="preserve"> for specific diseases</w:t>
      </w:r>
      <w:r w:rsidR="003C0EB0">
        <w:rPr>
          <w:rFonts w:ascii="Arial" w:hAnsi="Arial" w:cs="Arial"/>
          <w:color w:val="17365D" w:themeColor="text2" w:themeShade="BF"/>
          <w:szCs w:val="22"/>
        </w:rPr>
        <w:t xml:space="preserve">, </w:t>
      </w:r>
      <w:r w:rsidR="002F07F9">
        <w:rPr>
          <w:rFonts w:ascii="Arial" w:hAnsi="Arial" w:cs="Arial"/>
          <w:color w:val="17365D" w:themeColor="text2" w:themeShade="BF"/>
          <w:szCs w:val="22"/>
        </w:rPr>
        <w:t xml:space="preserve">and needs-driven research in general, </w:t>
      </w:r>
      <w:r w:rsidR="003C0EB0">
        <w:rPr>
          <w:rFonts w:ascii="Arial" w:hAnsi="Arial" w:cs="Arial"/>
          <w:color w:val="17365D" w:themeColor="text2" w:themeShade="BF"/>
          <w:szCs w:val="22"/>
        </w:rPr>
        <w:t>as well as ensuring access</w:t>
      </w:r>
      <w:r w:rsidR="001A06EC">
        <w:rPr>
          <w:rFonts w:ascii="Arial" w:hAnsi="Arial" w:cs="Arial"/>
          <w:color w:val="17365D" w:themeColor="text2" w:themeShade="BF"/>
          <w:szCs w:val="22"/>
        </w:rPr>
        <w:t xml:space="preserve"> to</w:t>
      </w:r>
      <w:r w:rsidR="003C0EB0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2F07F9">
        <w:rPr>
          <w:rFonts w:ascii="Arial" w:hAnsi="Arial" w:cs="Arial"/>
          <w:color w:val="17365D" w:themeColor="text2" w:themeShade="BF"/>
          <w:szCs w:val="22"/>
        </w:rPr>
        <w:t xml:space="preserve">and affordability </w:t>
      </w:r>
      <w:r w:rsidR="001A06EC">
        <w:rPr>
          <w:rFonts w:ascii="Arial" w:hAnsi="Arial" w:cs="Arial"/>
          <w:color w:val="17365D" w:themeColor="text2" w:themeShade="BF"/>
          <w:szCs w:val="22"/>
        </w:rPr>
        <w:t>of</w:t>
      </w:r>
      <w:r w:rsidR="003C0EB0">
        <w:rPr>
          <w:rFonts w:ascii="Arial" w:hAnsi="Arial" w:cs="Arial"/>
          <w:color w:val="17365D" w:themeColor="text2" w:themeShade="BF"/>
          <w:szCs w:val="22"/>
        </w:rPr>
        <w:t xml:space="preserve"> new treatments</w:t>
      </w:r>
      <w:r w:rsidR="002F07F9">
        <w:rPr>
          <w:rFonts w:ascii="Arial" w:hAnsi="Arial" w:cs="Arial"/>
          <w:color w:val="17365D" w:themeColor="text2" w:themeShade="BF"/>
          <w:szCs w:val="22"/>
        </w:rPr>
        <w:t>.</w:t>
      </w:r>
    </w:p>
    <w:bookmarkEnd w:id="1"/>
    <w:p w14:paraId="6044DEF9" w14:textId="77777777" w:rsidR="000A3F09" w:rsidRPr="00F96BB0" w:rsidRDefault="000A3F09" w:rsidP="003F0C15">
      <w:pPr>
        <w:ind w:right="-472"/>
        <w:jc w:val="left"/>
        <w:rPr>
          <w:rFonts w:ascii="Arial" w:hAnsi="Arial" w:cs="Arial"/>
          <w:color w:val="17365D" w:themeColor="text2" w:themeShade="BF"/>
          <w:szCs w:val="22"/>
        </w:rPr>
      </w:pPr>
    </w:p>
    <w:p w14:paraId="76CC5987" w14:textId="5CD5BD89" w:rsidR="009F1F04" w:rsidRDefault="005969A7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bookmarkStart w:id="3" w:name="_Hlk14096438"/>
      <w:bookmarkEnd w:id="2"/>
      <w:r w:rsidRPr="00F96BB0">
        <w:rPr>
          <w:rFonts w:ascii="Arial" w:hAnsi="Arial" w:cs="Arial"/>
          <w:color w:val="17365D" w:themeColor="text2" w:themeShade="BF"/>
          <w:szCs w:val="22"/>
        </w:rPr>
        <w:t>The second panel will review</w:t>
      </w:r>
      <w:r w:rsidR="009F1F04">
        <w:rPr>
          <w:rFonts w:ascii="Arial" w:hAnsi="Arial" w:cs="Arial"/>
          <w:color w:val="17365D" w:themeColor="text2" w:themeShade="BF"/>
          <w:szCs w:val="22"/>
        </w:rPr>
        <w:t xml:space="preserve"> opportunities and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 challenges linked to new technologies from a health, intellectual property and trade perspective. </w:t>
      </w:r>
      <w:r w:rsidR="00836792" w:rsidRPr="00F96BB0">
        <w:rPr>
          <w:rFonts w:ascii="Arial" w:hAnsi="Arial" w:cs="Arial"/>
          <w:color w:val="17365D" w:themeColor="text2" w:themeShade="BF"/>
          <w:szCs w:val="22"/>
        </w:rPr>
        <w:t xml:space="preserve">Some of the 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more complex </w:t>
      </w:r>
      <w:r w:rsidR="00836792" w:rsidRPr="00F96BB0">
        <w:rPr>
          <w:rFonts w:ascii="Arial" w:hAnsi="Arial" w:cs="Arial"/>
          <w:color w:val="17365D" w:themeColor="text2" w:themeShade="BF"/>
          <w:szCs w:val="22"/>
        </w:rPr>
        <w:t xml:space="preserve">technologies 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may require sophisticated know-how and equipment. </w:t>
      </w:r>
      <w:r w:rsidR="006D65AE">
        <w:rPr>
          <w:rFonts w:ascii="Arial" w:hAnsi="Arial" w:cs="Arial"/>
          <w:color w:val="17365D" w:themeColor="text2" w:themeShade="BF"/>
          <w:szCs w:val="22"/>
        </w:rPr>
        <w:t>Access to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new technologies may not work through 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lastRenderedPageBreak/>
        <w:t>a technology</w:t>
      </w:r>
      <w:r w:rsidRPr="00F96BB0">
        <w:rPr>
          <w:rFonts w:ascii="Arial" w:hAnsi="Arial" w:cs="Arial"/>
          <w:color w:val="17365D" w:themeColor="text2" w:themeShade="BF"/>
          <w:szCs w:val="22"/>
        </w:rPr>
        <w:t>-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transfer license since implementing technology </w:t>
      </w:r>
      <w:r w:rsidR="006D65AE">
        <w:rPr>
          <w:rFonts w:ascii="Arial" w:hAnsi="Arial" w:cs="Arial"/>
          <w:color w:val="17365D" w:themeColor="text2" w:themeShade="BF"/>
          <w:szCs w:val="22"/>
        </w:rPr>
        <w:t>may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depend on extensive knowledge transfer and an appropriate technical environment, such as 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a 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>laboratory</w:t>
      </w:r>
      <w:r w:rsidRPr="00F96BB0">
        <w:rPr>
          <w:rFonts w:ascii="Arial" w:hAnsi="Arial" w:cs="Arial"/>
          <w:color w:val="17365D" w:themeColor="text2" w:themeShade="BF"/>
          <w:szCs w:val="22"/>
        </w:rPr>
        <w:t>,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information technology equipment</w:t>
      </w:r>
      <w:r w:rsidRPr="00F96BB0">
        <w:rPr>
          <w:rFonts w:ascii="Arial" w:hAnsi="Arial" w:cs="Arial"/>
          <w:color w:val="17365D" w:themeColor="text2" w:themeShade="BF"/>
          <w:szCs w:val="22"/>
        </w:rPr>
        <w:t>,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F96BB0">
        <w:rPr>
          <w:rFonts w:ascii="Arial" w:hAnsi="Arial" w:cs="Arial"/>
          <w:color w:val="17365D" w:themeColor="text2" w:themeShade="BF"/>
          <w:szCs w:val="22"/>
        </w:rPr>
        <w:t>or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an appropriate R&amp;D/clinical infrastructure. 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 xml:space="preserve">These 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>requirements can lead to high costs for diagnostics and treatments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>,</w:t>
      </w:r>
      <w:r w:rsidR="004E2AA0">
        <w:rPr>
          <w:rFonts w:ascii="Arial" w:hAnsi="Arial" w:cs="Arial"/>
          <w:color w:val="17365D" w:themeColor="text2" w:themeShade="BF"/>
          <w:szCs w:val="22"/>
        </w:rPr>
        <w:t xml:space="preserve"> which poses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new challenges 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>in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ensuring 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>patient access</w:t>
      </w:r>
      <w:r w:rsidR="002F07F9">
        <w:rPr>
          <w:rFonts w:ascii="Arial" w:hAnsi="Arial" w:cs="Arial"/>
          <w:color w:val="17365D" w:themeColor="text2" w:themeShade="BF"/>
          <w:szCs w:val="22"/>
        </w:rPr>
        <w:t xml:space="preserve"> and</w:t>
      </w:r>
      <w:r w:rsidR="006D65AE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2F07F9">
        <w:rPr>
          <w:rFonts w:ascii="Arial" w:hAnsi="Arial" w:cs="Arial"/>
          <w:color w:val="17365D" w:themeColor="text2" w:themeShade="BF"/>
          <w:szCs w:val="22"/>
        </w:rPr>
        <w:t>affordability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, particularly in environments 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>with high out-of-pocket payments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. 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>I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ncreasing healthcare costs also </w:t>
      </w:r>
      <w:r w:rsidR="00F3397A" w:rsidRPr="00F96BB0">
        <w:rPr>
          <w:rFonts w:ascii="Arial" w:hAnsi="Arial" w:cs="Arial"/>
          <w:color w:val="17365D" w:themeColor="text2" w:themeShade="BF"/>
          <w:szCs w:val="22"/>
        </w:rPr>
        <w:t>pose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problems to health insurance</w:t>
      </w:r>
      <w:r w:rsidR="00FE6A05" w:rsidRPr="00F96BB0">
        <w:rPr>
          <w:rFonts w:ascii="Arial" w:hAnsi="Arial" w:cs="Arial"/>
          <w:color w:val="17365D" w:themeColor="text2" w:themeShade="BF"/>
          <w:szCs w:val="22"/>
        </w:rPr>
        <w:t xml:space="preserve"> providers</w:t>
      </w:r>
      <w:r w:rsidR="007F57FD" w:rsidRPr="00F96BB0">
        <w:rPr>
          <w:rFonts w:ascii="Arial" w:hAnsi="Arial" w:cs="Arial"/>
          <w:color w:val="17365D" w:themeColor="text2" w:themeShade="BF"/>
          <w:szCs w:val="22"/>
        </w:rPr>
        <w:t xml:space="preserve"> in high-income countries.</w:t>
      </w:r>
      <w:r w:rsidR="00CD7EC6" w:rsidRPr="00CD7EC6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CD7EC6">
        <w:rPr>
          <w:rFonts w:ascii="Arial" w:hAnsi="Arial" w:cs="Arial"/>
          <w:color w:val="17365D" w:themeColor="text2" w:themeShade="BF"/>
          <w:szCs w:val="22"/>
        </w:rPr>
        <w:t>A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>ccessing and processing personal, and possibly sensitive</w:t>
      </w:r>
      <w:r w:rsidR="007E58D5">
        <w:rPr>
          <w:rFonts w:ascii="Arial" w:hAnsi="Arial" w:cs="Arial"/>
          <w:color w:val="17365D" w:themeColor="text2" w:themeShade="BF"/>
          <w:szCs w:val="22"/>
        </w:rPr>
        <w:t xml:space="preserve"> and/</w:t>
      </w:r>
      <w:r w:rsidR="006D65AE">
        <w:rPr>
          <w:rFonts w:ascii="Arial" w:hAnsi="Arial" w:cs="Arial"/>
          <w:color w:val="17365D" w:themeColor="text2" w:themeShade="BF"/>
          <w:szCs w:val="22"/>
        </w:rPr>
        <w:t>or confidential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3C0EB0">
        <w:rPr>
          <w:rFonts w:ascii="Arial" w:hAnsi="Arial" w:cs="Arial"/>
          <w:color w:val="17365D" w:themeColor="text2" w:themeShade="BF"/>
          <w:szCs w:val="22"/>
        </w:rPr>
        <w:t xml:space="preserve">patient 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>data</w:t>
      </w:r>
      <w:r w:rsidR="002F07F9">
        <w:rPr>
          <w:rFonts w:ascii="Arial" w:hAnsi="Arial" w:cs="Arial"/>
          <w:color w:val="17365D" w:themeColor="text2" w:themeShade="BF"/>
          <w:szCs w:val="22"/>
        </w:rPr>
        <w:t>,</w:t>
      </w:r>
      <w:r w:rsidR="00CD7EC6" w:rsidRPr="00F96BB0">
        <w:rPr>
          <w:rFonts w:ascii="Arial" w:hAnsi="Arial" w:cs="Arial"/>
          <w:color w:val="17365D" w:themeColor="text2" w:themeShade="BF"/>
          <w:szCs w:val="22"/>
        </w:rPr>
        <w:t xml:space="preserve"> has its own ethical challenges, including obtaining prior informed consent and the applicability of various personal data protection laws.</w:t>
      </w:r>
    </w:p>
    <w:bookmarkEnd w:id="3"/>
    <w:p w14:paraId="6EAA42DF" w14:textId="77777777" w:rsidR="009F1F04" w:rsidRDefault="009F1F04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4D2AE74C" w14:textId="3BAE9F8D" w:rsidR="007F57FD" w:rsidRPr="00F96BB0" w:rsidRDefault="009F1F04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>
        <w:rPr>
          <w:rFonts w:ascii="Arial" w:hAnsi="Arial" w:cs="Arial"/>
          <w:color w:val="17365D" w:themeColor="text2" w:themeShade="BF"/>
          <w:szCs w:val="22"/>
        </w:rPr>
        <w:t>T</w:t>
      </w:r>
      <w:r w:rsidRPr="00160317">
        <w:rPr>
          <w:rFonts w:ascii="Arial" w:hAnsi="Arial" w:cs="Arial"/>
          <w:color w:val="17365D" w:themeColor="text2" w:themeShade="BF"/>
          <w:szCs w:val="22"/>
        </w:rPr>
        <w:t>he symposium will be held in English only. Participation is open to all interested individuals and organizations. Registration is available at</w:t>
      </w:r>
      <w:r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Pr="00896279">
        <w:rPr>
          <w:rFonts w:ascii="Arial" w:hAnsi="Arial" w:cs="Arial"/>
          <w:color w:val="17365D" w:themeColor="text2" w:themeShade="BF"/>
          <w:szCs w:val="22"/>
          <w:highlight w:val="yellow"/>
        </w:rPr>
        <w:t>[URL]</w:t>
      </w:r>
      <w:r w:rsidR="00896279" w:rsidRPr="00896279">
        <w:rPr>
          <w:rFonts w:ascii="Arial" w:hAnsi="Arial" w:cs="Arial"/>
          <w:color w:val="17365D" w:themeColor="text2" w:themeShade="BF"/>
          <w:szCs w:val="22"/>
          <w:highlight w:val="yellow"/>
        </w:rPr>
        <w:t>.</w:t>
      </w:r>
      <w:r w:rsidR="00D87CC5" w:rsidRPr="00F96BB0">
        <w:rPr>
          <w:rFonts w:ascii="Arial" w:hAnsi="Arial" w:cs="Arial"/>
          <w:color w:val="17365D" w:themeColor="text2" w:themeShade="BF"/>
          <w:szCs w:val="22"/>
        </w:rPr>
        <w:t xml:space="preserve"> </w:t>
      </w:r>
    </w:p>
    <w:p w14:paraId="01F83D95" w14:textId="77777777" w:rsidR="007F57FD" w:rsidRPr="00F96BB0" w:rsidRDefault="007F57FD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39C0D146" w14:textId="4CCF028A" w:rsidR="00F96BB0" w:rsidRPr="00F96BB0" w:rsidRDefault="00F96BB0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F96BB0">
        <w:rPr>
          <w:rFonts w:ascii="Arial" w:hAnsi="Arial" w:cs="Arial"/>
          <w:b/>
          <w:color w:val="17365D" w:themeColor="text2" w:themeShade="BF"/>
          <w:szCs w:val="22"/>
        </w:rPr>
        <w:t>Background</w:t>
      </w:r>
    </w:p>
    <w:p w14:paraId="35293549" w14:textId="77777777" w:rsidR="00F96BB0" w:rsidRPr="00F96BB0" w:rsidRDefault="00F96BB0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5B5D7EDB" w14:textId="66144CEF" w:rsidR="00CD7EC6" w:rsidRDefault="00F96BB0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F96BB0">
        <w:rPr>
          <w:rFonts w:ascii="Arial" w:hAnsi="Arial" w:cs="Arial"/>
          <w:color w:val="17365D" w:themeColor="text2" w:themeShade="BF"/>
          <w:szCs w:val="22"/>
        </w:rPr>
        <w:t xml:space="preserve">2019 marks the ten-year anniversary of a focused cooperation between the Secretariats of the </w:t>
      </w:r>
      <w:r w:rsidRPr="00F96BB0">
        <w:rPr>
          <w:rFonts w:ascii="Arial" w:hAnsi="Arial" w:cs="Arial"/>
          <w:color w:val="17365D" w:themeColor="text2" w:themeShade="BF"/>
          <w:szCs w:val="22"/>
          <w:lang w:val="en-US"/>
        </w:rPr>
        <w:t>World Health Organization (WHO), the World Intellectual Property Organization (WIPO) and the World Trade Organization (WTO) regarding matters at the crossroads between health, trad</w:t>
      </w:r>
      <w:r w:rsidR="00D70768">
        <w:rPr>
          <w:rFonts w:ascii="Arial" w:hAnsi="Arial" w:cs="Arial"/>
          <w:color w:val="17365D" w:themeColor="text2" w:themeShade="BF"/>
          <w:szCs w:val="22"/>
          <w:lang w:val="en-US"/>
        </w:rPr>
        <w:t>e and intellectual property</w:t>
      </w:r>
      <w:r w:rsidRPr="00F96BB0">
        <w:rPr>
          <w:rFonts w:ascii="Arial" w:hAnsi="Arial" w:cs="Arial"/>
          <w:color w:val="17365D" w:themeColor="text2" w:themeShade="BF"/>
          <w:szCs w:val="22"/>
          <w:lang w:val="en-US"/>
        </w:rPr>
        <w:t>. This trilateral cooperation canvasses a broad range of matters falling under the responsibilities of the three organizations, including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 patterns of innovation and access, factors affecting the production and dissemination of medical technologies, and the interplay between public health, inter</w:t>
      </w:r>
      <w:r w:rsidR="00D70768">
        <w:rPr>
          <w:rFonts w:ascii="Arial" w:hAnsi="Arial" w:cs="Arial"/>
          <w:color w:val="17365D" w:themeColor="text2" w:themeShade="BF"/>
          <w:szCs w:val="22"/>
        </w:rPr>
        <w:t xml:space="preserve">national trade rules and the intellectual property 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system. </w:t>
      </w:r>
    </w:p>
    <w:p w14:paraId="5043BDDE" w14:textId="77777777" w:rsidR="00CD7EC6" w:rsidRDefault="00CD7EC6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08EDF69B" w14:textId="4C901442" w:rsidR="00F96BB0" w:rsidRPr="00F96BB0" w:rsidRDefault="00F96BB0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F96BB0">
        <w:rPr>
          <w:rFonts w:ascii="Arial" w:hAnsi="Arial" w:cs="Arial"/>
          <w:color w:val="17365D" w:themeColor="text2" w:themeShade="BF"/>
          <w:szCs w:val="22"/>
        </w:rPr>
        <w:t xml:space="preserve">As part of their efforts to provide technical guidance and factual evidence to decision-makers, the organizations have held seven joint technical symposia since 2010 which have reviewed topical issues. The Trilateral Study on </w:t>
      </w:r>
      <w:r w:rsidRPr="00F96BB0">
        <w:rPr>
          <w:rFonts w:ascii="Arial" w:hAnsi="Arial" w:cs="Arial"/>
          <w:i/>
          <w:color w:val="17365D" w:themeColor="text2" w:themeShade="BF"/>
          <w:szCs w:val="22"/>
        </w:rPr>
        <w:t>Promoting Access to Medical Technologies and Innovation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 has informed policy makers and the interested public in an accessible, systematic format about the wide r</w:t>
      </w:r>
      <w:r w:rsidR="00BA2B59">
        <w:rPr>
          <w:rFonts w:ascii="Arial" w:hAnsi="Arial" w:cs="Arial"/>
          <w:color w:val="17365D" w:themeColor="text2" w:themeShade="BF"/>
          <w:szCs w:val="22"/>
        </w:rPr>
        <w:t>ange of factors that impact i</w:t>
      </w:r>
      <w:r w:rsidRPr="00F96BB0">
        <w:rPr>
          <w:rFonts w:ascii="Arial" w:hAnsi="Arial" w:cs="Arial"/>
          <w:color w:val="17365D" w:themeColor="text2" w:themeShade="BF"/>
          <w:szCs w:val="22"/>
        </w:rPr>
        <w:t xml:space="preserve">nnovation and access in the health sector, as well as the policy options that are available to them. </w:t>
      </w:r>
    </w:p>
    <w:p w14:paraId="2C1A5DEB" w14:textId="77777777" w:rsidR="00F96BB0" w:rsidRPr="00F96BB0" w:rsidRDefault="00F96BB0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0A91D066" w14:textId="06399262" w:rsidR="00F96BB0" w:rsidRPr="00F96BB0" w:rsidRDefault="00F96BB0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  <w:r w:rsidRPr="00F96BB0">
        <w:rPr>
          <w:rFonts w:ascii="Arial" w:hAnsi="Arial" w:cs="Arial"/>
          <w:color w:val="17365D" w:themeColor="text2" w:themeShade="BF"/>
          <w:szCs w:val="22"/>
        </w:rPr>
        <w:t>The cooperation offered by the three organizations is characterized by active dialogue, coordination, and partnership, leading to more effective and tailored capacity-building activities based on an informed, factual background. Today, a richer, more diverse, and more inclusive body of empirical data and practical experience is available to guide technical cooperation.</w:t>
      </w:r>
    </w:p>
    <w:p w14:paraId="7F203486" w14:textId="25A4BB55" w:rsidR="00F96BB0" w:rsidRDefault="00F96BB0" w:rsidP="009F1F04">
      <w:pPr>
        <w:ind w:left="-426" w:right="-472"/>
        <w:rPr>
          <w:rFonts w:ascii="Arial" w:hAnsi="Arial" w:cs="Arial"/>
          <w:color w:val="17365D" w:themeColor="text2" w:themeShade="BF"/>
          <w:szCs w:val="22"/>
        </w:rPr>
      </w:pPr>
    </w:p>
    <w:p w14:paraId="73CD9CDA" w14:textId="328B5860" w:rsidR="00CD7EC6" w:rsidRDefault="00CD7EC6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60CFE61A" w14:textId="5975B714" w:rsidR="00160317" w:rsidRDefault="00160317" w:rsidP="009F1F04">
      <w:pPr>
        <w:ind w:right="-472"/>
        <w:rPr>
          <w:rFonts w:ascii="Arial" w:hAnsi="Arial" w:cs="Arial"/>
          <w:color w:val="17365D" w:themeColor="text2" w:themeShade="BF"/>
          <w:szCs w:val="22"/>
        </w:rPr>
      </w:pPr>
    </w:p>
    <w:p w14:paraId="3BB368DF" w14:textId="7A74AD35" w:rsidR="00CD7EC6" w:rsidRDefault="00CD7EC6" w:rsidP="00786ADA">
      <w:pPr>
        <w:ind w:left="-426" w:right="-472"/>
        <w:jc w:val="left"/>
        <w:rPr>
          <w:rFonts w:ascii="Arial" w:hAnsi="Arial" w:cs="Arial"/>
          <w:color w:val="17365D" w:themeColor="text2" w:themeShade="BF"/>
          <w:szCs w:val="22"/>
        </w:rPr>
      </w:pPr>
    </w:p>
    <w:p w14:paraId="1C794E08" w14:textId="77777777" w:rsidR="00B2407A" w:rsidRPr="00F96BB0" w:rsidRDefault="00D60A60" w:rsidP="000A3F09">
      <w:pPr>
        <w:ind w:left="-426" w:right="-472"/>
        <w:jc w:val="center"/>
        <w:rPr>
          <w:rFonts w:ascii="Arial" w:hAnsi="Arial" w:cs="Arial"/>
          <w:color w:val="17365D" w:themeColor="text2" w:themeShade="BF"/>
          <w:szCs w:val="22"/>
        </w:rPr>
      </w:pPr>
      <w:r w:rsidRPr="00F96BB0">
        <w:rPr>
          <w:rFonts w:ascii="Arial" w:hAnsi="Arial" w:cs="Arial"/>
          <w:color w:val="17365D" w:themeColor="text2" w:themeShade="BF"/>
          <w:szCs w:val="22"/>
        </w:rPr>
        <w:t>________________</w:t>
      </w:r>
    </w:p>
    <w:p w14:paraId="74B35003" w14:textId="77777777" w:rsidR="00DB0D4E" w:rsidRPr="00F96BB0" w:rsidRDefault="00DB0D4E" w:rsidP="00786ADA">
      <w:pPr>
        <w:ind w:left="-426" w:right="-472"/>
        <w:jc w:val="left"/>
        <w:rPr>
          <w:rFonts w:ascii="Arial" w:hAnsi="Arial" w:cs="Arial"/>
          <w:color w:val="17365D" w:themeColor="text2" w:themeShade="BF"/>
          <w:szCs w:val="22"/>
        </w:rPr>
      </w:pPr>
    </w:p>
    <w:p w14:paraId="1E116B64" w14:textId="77777777" w:rsidR="0068190E" w:rsidRPr="00F96BB0" w:rsidRDefault="0068190E" w:rsidP="00786ADA">
      <w:pPr>
        <w:ind w:left="-426" w:right="-472"/>
        <w:jc w:val="left"/>
        <w:rPr>
          <w:rFonts w:ascii="Arial" w:hAnsi="Arial" w:cs="Arial"/>
          <w:color w:val="17365D" w:themeColor="text2" w:themeShade="BF"/>
          <w:szCs w:val="22"/>
        </w:rPr>
      </w:pPr>
    </w:p>
    <w:p w14:paraId="1D51AF2D" w14:textId="77777777" w:rsidR="0068190E" w:rsidRPr="00F96BB0" w:rsidRDefault="0068190E" w:rsidP="00786ADA">
      <w:pPr>
        <w:ind w:left="-426" w:right="-472"/>
        <w:jc w:val="left"/>
        <w:rPr>
          <w:rFonts w:ascii="Arial" w:hAnsi="Arial" w:cs="Arial"/>
          <w:color w:val="17365D" w:themeColor="text2" w:themeShade="BF"/>
          <w:szCs w:val="22"/>
        </w:rPr>
      </w:pPr>
    </w:p>
    <w:p w14:paraId="0B4C895B" w14:textId="77777777" w:rsidR="00DA2CD8" w:rsidRPr="00934145" w:rsidRDefault="00E84AF7" w:rsidP="00DA2CD8">
      <w:pPr>
        <w:ind w:left="-426" w:right="-472"/>
        <w:jc w:val="left"/>
        <w:rPr>
          <w:rFonts w:ascii="Arial" w:hAnsi="Arial" w:cs="Arial"/>
          <w:color w:val="17365D" w:themeColor="text2" w:themeShade="BF"/>
          <w:szCs w:val="22"/>
        </w:rPr>
      </w:pPr>
      <w:r w:rsidRPr="00F96BB0">
        <w:rPr>
          <w:rFonts w:ascii="Arial" w:hAnsi="Arial" w:cs="Arial"/>
          <w:color w:val="17365D" w:themeColor="text2" w:themeShade="BF"/>
          <w:szCs w:val="22"/>
        </w:rPr>
        <w:br w:type="page"/>
      </w:r>
    </w:p>
    <w:p w14:paraId="123E2AAC" w14:textId="77777777" w:rsidR="00DA2CD8" w:rsidRPr="00934145" w:rsidRDefault="00DA2CD8" w:rsidP="00DA2CD8">
      <w:pPr>
        <w:jc w:val="center"/>
        <w:rPr>
          <w:rFonts w:ascii="Arial" w:hAnsi="Arial" w:cs="Arial"/>
          <w:b/>
          <w:iCs/>
          <w:color w:val="17365D" w:themeColor="text2" w:themeShade="BF"/>
          <w:szCs w:val="22"/>
        </w:rPr>
      </w:pPr>
      <w:r w:rsidRPr="00934145">
        <w:rPr>
          <w:rFonts w:ascii="Arial" w:hAnsi="Arial" w:cs="Arial"/>
          <w:b/>
          <w:iCs/>
          <w:color w:val="17365D" w:themeColor="text2" w:themeShade="BF"/>
          <w:szCs w:val="22"/>
        </w:rPr>
        <w:lastRenderedPageBreak/>
        <w:t>Draft Programme</w:t>
      </w:r>
    </w:p>
    <w:p w14:paraId="75F7CE51" w14:textId="77777777" w:rsidR="00DA2CD8" w:rsidRPr="00934145" w:rsidRDefault="00DA2CD8" w:rsidP="00DA2CD8">
      <w:pPr>
        <w:jc w:val="left"/>
        <w:rPr>
          <w:rFonts w:ascii="Arial" w:hAnsi="Arial" w:cs="Arial"/>
          <w:b/>
          <w:iCs/>
          <w:color w:val="17365D" w:themeColor="text2" w:themeShade="BF"/>
          <w:szCs w:val="22"/>
        </w:rPr>
      </w:pPr>
    </w:p>
    <w:p w14:paraId="5ADD4954" w14:textId="77777777" w:rsidR="00C866CC" w:rsidRDefault="00C866CC" w:rsidP="00DA2CD8">
      <w:pPr>
        <w:jc w:val="left"/>
        <w:rPr>
          <w:rFonts w:ascii="Arial" w:hAnsi="Arial" w:cs="Arial"/>
          <w:b/>
          <w:iCs/>
          <w:color w:val="17365D" w:themeColor="text2" w:themeShade="BF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62"/>
      </w:tblGrid>
      <w:tr w:rsidR="00057561" w14:paraId="620AD4EA" w14:textId="77777777" w:rsidTr="00057561">
        <w:tc>
          <w:tcPr>
            <w:tcW w:w="1980" w:type="dxa"/>
          </w:tcPr>
          <w:p w14:paraId="3EA5F54B" w14:textId="77777777" w:rsidR="00057561" w:rsidRDefault="00057561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7FC00CB1" w14:textId="77777777" w:rsidR="00057561" w:rsidRDefault="00057561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</w:p>
        </w:tc>
      </w:tr>
      <w:tr w:rsidR="00057561" w14:paraId="3D84D9A8" w14:textId="77777777" w:rsidTr="00057561">
        <w:tc>
          <w:tcPr>
            <w:tcW w:w="1980" w:type="dxa"/>
          </w:tcPr>
          <w:p w14:paraId="549704F3" w14:textId="4C8ECF07" w:rsidR="00057561" w:rsidRPr="00DA354F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09.45 – 10.30</w:t>
            </w:r>
          </w:p>
        </w:tc>
        <w:tc>
          <w:tcPr>
            <w:tcW w:w="6662" w:type="dxa"/>
          </w:tcPr>
          <w:p w14:paraId="5116DF91" w14:textId="77777777" w:rsidR="00057561" w:rsidRPr="00DA354F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Roberto Azevêdo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, Director General, WTO </w:t>
            </w:r>
          </w:p>
          <w:p w14:paraId="072F3568" w14:textId="77777777" w:rsidR="00057561" w:rsidRPr="00DA354F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Francis </w:t>
            </w:r>
            <w:proofErr w:type="spellStart"/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Gurry</w:t>
            </w:r>
            <w:proofErr w:type="spellEnd"/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 Director General, WIPO</w:t>
            </w:r>
          </w:p>
          <w:p w14:paraId="40A5C65A" w14:textId="2E486FF7" w:rsidR="00057561" w:rsidRPr="00DA354F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proofErr w:type="spellStart"/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Tedros</w:t>
            </w:r>
            <w:proofErr w:type="spellEnd"/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 </w:t>
            </w:r>
            <w:proofErr w:type="spellStart"/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Adhanom</w:t>
            </w:r>
            <w:proofErr w:type="spellEnd"/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Ghebreyesus, Director-General, WHO</w:t>
            </w:r>
          </w:p>
        </w:tc>
      </w:tr>
      <w:tr w:rsidR="00057561" w14:paraId="0A970087" w14:textId="77777777" w:rsidTr="00057561">
        <w:tc>
          <w:tcPr>
            <w:tcW w:w="1980" w:type="dxa"/>
          </w:tcPr>
          <w:p w14:paraId="2C9ECAB7" w14:textId="539D48A2" w:rsidR="00057561" w:rsidRPr="00DA354F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10.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30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– 1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</w:p>
        </w:tc>
        <w:tc>
          <w:tcPr>
            <w:tcW w:w="6662" w:type="dxa"/>
          </w:tcPr>
          <w:p w14:paraId="65885BC7" w14:textId="77777777" w:rsidR="00057561" w:rsidRDefault="00E56DF2" w:rsidP="00057561">
            <w:pPr>
              <w:spacing w:after="120"/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Presentations by WHO, WIPO and WTO </w:t>
            </w:r>
          </w:p>
          <w:p w14:paraId="39FB6C83" w14:textId="77777777" w:rsidR="00E56DF2" w:rsidRDefault="00E56DF2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Global Innovation Index</w:t>
            </w:r>
          </w:p>
          <w:p w14:paraId="1217EA7B" w14:textId="77777777" w:rsidR="00E56DF2" w:rsidRDefault="00E56DF2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Speaker: WIPO (tbc)</w:t>
            </w:r>
          </w:p>
          <w:p w14:paraId="3A1FAED6" w14:textId="77777777" w:rsidR="00E56DF2" w:rsidRDefault="00E56DF2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Essential Medicines List</w:t>
            </w:r>
          </w:p>
          <w:p w14:paraId="32126E34" w14:textId="77777777" w:rsidR="00E56DF2" w:rsidRDefault="00E56DF2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Speaker: WHO (tbc)</w:t>
            </w:r>
          </w:p>
          <w:p w14:paraId="69261B95" w14:textId="77777777" w:rsidR="00E56DF2" w:rsidRDefault="00E56DF2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Measuring IP in trade in new technologies</w:t>
            </w:r>
          </w:p>
          <w:p w14:paraId="62D3894C" w14:textId="582DCEF7" w:rsidR="00E56DF2" w:rsidRPr="00E56DF2" w:rsidRDefault="00E56DF2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Speaker: WTO (tbc)</w:t>
            </w:r>
          </w:p>
        </w:tc>
      </w:tr>
      <w:tr w:rsidR="00057561" w14:paraId="0A4C5850" w14:textId="77777777" w:rsidTr="00057561">
        <w:tc>
          <w:tcPr>
            <w:tcW w:w="1980" w:type="dxa"/>
          </w:tcPr>
          <w:p w14:paraId="5DFBE141" w14:textId="52EA3C2F" w:rsidR="00057561" w:rsidRPr="00DA354F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 – 1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3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  <w:r w:rsidRPr="00DA354F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</w:p>
        </w:tc>
        <w:tc>
          <w:tcPr>
            <w:tcW w:w="6662" w:type="dxa"/>
          </w:tcPr>
          <w:p w14:paraId="22FD6CE2" w14:textId="66BEA650" w:rsidR="00057561" w:rsidRDefault="00057561" w:rsidP="00057561">
            <w:pPr>
              <w:spacing w:after="120"/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  <w:r w:rsidRPr="00DA354F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Panel</w:t>
            </w:r>
            <w:r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 I</w:t>
            </w:r>
            <w:r w:rsidRPr="00DA354F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: The evolving innovation ecosystem for public health</w:t>
            </w:r>
          </w:p>
        </w:tc>
      </w:tr>
      <w:tr w:rsidR="00057561" w14:paraId="7B2B8A20" w14:textId="77777777" w:rsidTr="00057561">
        <w:tc>
          <w:tcPr>
            <w:tcW w:w="1980" w:type="dxa"/>
          </w:tcPr>
          <w:p w14:paraId="2DE4A40B" w14:textId="77777777" w:rsidR="00057561" w:rsidRPr="00044B14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37760F91" w14:textId="3A95D221" w:rsidR="00057561" w:rsidRPr="00044B14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44B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Moderator:</w:t>
            </w:r>
            <w:r w:rsidR="005A4897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(tbc)</w:t>
            </w:r>
          </w:p>
        </w:tc>
      </w:tr>
      <w:tr w:rsidR="00057561" w14:paraId="634E793B" w14:textId="77777777" w:rsidTr="00057561">
        <w:trPr>
          <w:trHeight w:val="255"/>
        </w:trPr>
        <w:tc>
          <w:tcPr>
            <w:tcW w:w="1980" w:type="dxa"/>
          </w:tcPr>
          <w:p w14:paraId="505EF339" w14:textId="77777777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65A5A673" w14:textId="533EEA56" w:rsidR="00057561" w:rsidRPr="008D113B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proofErr w:type="spellStart"/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Panelists</w:t>
            </w:r>
            <w:proofErr w:type="spellEnd"/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:</w:t>
            </w:r>
          </w:p>
        </w:tc>
      </w:tr>
      <w:tr w:rsidR="00057561" w14:paraId="18EC659C" w14:textId="77777777" w:rsidTr="00057561">
        <w:tc>
          <w:tcPr>
            <w:tcW w:w="1980" w:type="dxa"/>
          </w:tcPr>
          <w:p w14:paraId="5F2FB00A" w14:textId="77777777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bookmarkStart w:id="4" w:name="_Hlk14081170"/>
          </w:p>
        </w:tc>
        <w:tc>
          <w:tcPr>
            <w:tcW w:w="6662" w:type="dxa"/>
          </w:tcPr>
          <w:p w14:paraId="43815A1B" w14:textId="1478EE60" w:rsidR="00057561" w:rsidRPr="008D113B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Michael </w:t>
            </w:r>
            <w:proofErr w:type="spellStart"/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Altdorfer</w:t>
            </w:r>
            <w:proofErr w:type="spellEnd"/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, 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CEO of the Swiss Biotech Association</w:t>
            </w:r>
          </w:p>
        </w:tc>
      </w:tr>
      <w:tr w:rsidR="00057561" w14:paraId="0FA7D189" w14:textId="77777777" w:rsidTr="00057561">
        <w:tc>
          <w:tcPr>
            <w:tcW w:w="1980" w:type="dxa"/>
          </w:tcPr>
          <w:p w14:paraId="67714ADE" w14:textId="77777777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00521ADE" w14:textId="304DDF70" w:rsidR="00057561" w:rsidRDefault="005A4897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5A4897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Nathalie Virag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 Senior Principal Scientist, Medtronic</w:t>
            </w:r>
          </w:p>
        </w:tc>
      </w:tr>
      <w:tr w:rsidR="00057561" w14:paraId="280042CD" w14:textId="77777777" w:rsidTr="00057561">
        <w:tc>
          <w:tcPr>
            <w:tcW w:w="1980" w:type="dxa"/>
          </w:tcPr>
          <w:p w14:paraId="154BA717" w14:textId="77777777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1255CCF0" w14:textId="039E484A" w:rsidR="00057561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Maria Teresa Arredondo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, 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Full Professor</w:t>
            </w:r>
            <w:r w:rsidR="00044B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Bioengineering and Photonics Department</w:t>
            </w:r>
            <w:r w:rsidR="00044B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Universidad </w:t>
            </w:r>
            <w:proofErr w:type="spellStart"/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Politécnica</w:t>
            </w:r>
            <w:proofErr w:type="spellEnd"/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de Madrid (UPM)</w:t>
            </w:r>
            <w:r w:rsidR="005A4897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Director of Latin-American Affairs at UPM</w:t>
            </w:r>
            <w:r w:rsidR="005A4897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Director of Vodafone Chair for Healthcare and e-Inclusio</w:t>
            </w:r>
            <w:r w:rsidR="005A4897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n (tbc)</w:t>
            </w:r>
          </w:p>
        </w:tc>
      </w:tr>
      <w:tr w:rsidR="00057561" w14:paraId="7ABEEC0B" w14:textId="77777777" w:rsidTr="00057561">
        <w:tc>
          <w:tcPr>
            <w:tcW w:w="1980" w:type="dxa"/>
          </w:tcPr>
          <w:p w14:paraId="185F8A1F" w14:textId="77777777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24429231" w14:textId="53900F98" w:rsidR="00057561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Tim Hubbard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, 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Head of Department of Medical &amp; Molecular Genetics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, Kings College London</w:t>
            </w:r>
          </w:p>
        </w:tc>
      </w:tr>
      <w:tr w:rsidR="00057561" w:rsidRPr="002F0414" w14:paraId="1861762D" w14:textId="77777777" w:rsidTr="00057561">
        <w:tc>
          <w:tcPr>
            <w:tcW w:w="1980" w:type="dxa"/>
          </w:tcPr>
          <w:p w14:paraId="33FE73B7" w14:textId="77777777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43AA0527" w14:textId="301A4B5C" w:rsidR="00057561" w:rsidRPr="002F0414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  <w:lang w:val="en-US"/>
              </w:rPr>
              <w:t>Manuel Juan Otero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>, Head of Sectio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>n,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 xml:space="preserve"> Biomedical Diagnostic Center – Immunology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 xml:space="preserve">, 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>Hospital Cl</w:t>
            </w:r>
            <w:r w:rsidR="005C596E"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>i</w:t>
            </w:r>
            <w:r w:rsidRPr="002F0414">
              <w:rPr>
                <w:rFonts w:ascii="Arial" w:hAnsi="Arial" w:cs="Arial"/>
                <w:iCs/>
                <w:color w:val="17365D" w:themeColor="text2" w:themeShade="BF"/>
                <w:szCs w:val="22"/>
                <w:lang w:val="en-US"/>
              </w:rPr>
              <w:t>nic of Barcelona</w:t>
            </w:r>
          </w:p>
        </w:tc>
      </w:tr>
      <w:bookmarkEnd w:id="4"/>
      <w:tr w:rsidR="00057561" w14:paraId="329B7E6A" w14:textId="77777777" w:rsidTr="00057561">
        <w:tc>
          <w:tcPr>
            <w:tcW w:w="1980" w:type="dxa"/>
          </w:tcPr>
          <w:p w14:paraId="548DA78C" w14:textId="012D7641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3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 – 13.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3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</w:p>
        </w:tc>
        <w:tc>
          <w:tcPr>
            <w:tcW w:w="6662" w:type="dxa"/>
          </w:tcPr>
          <w:p w14:paraId="59617AE7" w14:textId="3AFF2ECB" w:rsidR="00057561" w:rsidRPr="008D113B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Discussion</w:t>
            </w:r>
          </w:p>
        </w:tc>
      </w:tr>
      <w:tr w:rsidR="00057561" w14:paraId="651AAA01" w14:textId="77777777" w:rsidTr="00057561">
        <w:tc>
          <w:tcPr>
            <w:tcW w:w="1980" w:type="dxa"/>
          </w:tcPr>
          <w:p w14:paraId="071FF0D0" w14:textId="4B09D6D8" w:rsidR="00057561" w:rsidRPr="008D113B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13.</w:t>
            </w:r>
            <w:r w:rsidR="00E56DF2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3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 – 14.30</w:t>
            </w:r>
          </w:p>
        </w:tc>
        <w:tc>
          <w:tcPr>
            <w:tcW w:w="6662" w:type="dxa"/>
          </w:tcPr>
          <w:p w14:paraId="6F661302" w14:textId="6AB2F284" w:rsidR="00057561" w:rsidRPr="008D113B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Lunch Break</w:t>
            </w:r>
          </w:p>
        </w:tc>
      </w:tr>
      <w:tr w:rsidR="00057561" w14:paraId="0A609EC2" w14:textId="77777777" w:rsidTr="00057561">
        <w:tc>
          <w:tcPr>
            <w:tcW w:w="1980" w:type="dxa"/>
          </w:tcPr>
          <w:p w14:paraId="43213FC7" w14:textId="20AB1E99" w:rsidR="00057561" w:rsidRPr="00DA354F" w:rsidRDefault="00057561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  <w:r w:rsidRPr="00DA354F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14.30 – 16.30</w:t>
            </w:r>
          </w:p>
        </w:tc>
        <w:tc>
          <w:tcPr>
            <w:tcW w:w="6662" w:type="dxa"/>
          </w:tcPr>
          <w:p w14:paraId="6D988F0E" w14:textId="17F2286D" w:rsidR="00057561" w:rsidRDefault="00057561" w:rsidP="00057561">
            <w:pPr>
              <w:spacing w:after="120"/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  <w:r w:rsidRPr="00DA354F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Panel</w:t>
            </w:r>
            <w:r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 II</w:t>
            </w:r>
            <w:r w:rsidRPr="00DA354F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: The health, innovation and trade dimension of new and emerging technologies</w:t>
            </w:r>
          </w:p>
        </w:tc>
      </w:tr>
      <w:tr w:rsidR="00057561" w14:paraId="0334C12D" w14:textId="77777777" w:rsidTr="00057561">
        <w:tc>
          <w:tcPr>
            <w:tcW w:w="1980" w:type="dxa"/>
          </w:tcPr>
          <w:p w14:paraId="543AB9C8" w14:textId="77777777" w:rsidR="00057561" w:rsidRPr="00DA354F" w:rsidRDefault="00057561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6BF5FF2E" w14:textId="49E8D8A9" w:rsidR="00057561" w:rsidRPr="008D113B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Moderator:</w:t>
            </w:r>
            <w:r w:rsidR="005A4897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(tbc)</w:t>
            </w:r>
          </w:p>
        </w:tc>
      </w:tr>
      <w:tr w:rsidR="00057561" w14:paraId="6F193561" w14:textId="77777777" w:rsidTr="00057561">
        <w:tc>
          <w:tcPr>
            <w:tcW w:w="1980" w:type="dxa"/>
          </w:tcPr>
          <w:p w14:paraId="76AF69EE" w14:textId="77777777" w:rsidR="00057561" w:rsidRPr="00DA354F" w:rsidRDefault="00057561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427FD668" w14:textId="300E7DEA" w:rsidR="00057561" w:rsidRPr="008D113B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proofErr w:type="spellStart"/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Panelists</w:t>
            </w:r>
            <w:proofErr w:type="spellEnd"/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:</w:t>
            </w:r>
          </w:p>
        </w:tc>
      </w:tr>
      <w:tr w:rsidR="00057561" w:rsidRPr="00057561" w14:paraId="46065FAB" w14:textId="77777777" w:rsidTr="00057561">
        <w:tc>
          <w:tcPr>
            <w:tcW w:w="1980" w:type="dxa"/>
          </w:tcPr>
          <w:p w14:paraId="0714863F" w14:textId="77777777" w:rsidR="00057561" w:rsidRPr="00057561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bookmarkStart w:id="5" w:name="_Hlk14096515"/>
          </w:p>
        </w:tc>
        <w:tc>
          <w:tcPr>
            <w:tcW w:w="6662" w:type="dxa"/>
          </w:tcPr>
          <w:p w14:paraId="396EE505" w14:textId="5B14644F" w:rsidR="00057561" w:rsidRPr="00057561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Claudia Vaca</w:t>
            </w:r>
            <w:r w:rsidRPr="00057561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, </w:t>
            </w:r>
            <w:proofErr w:type="spellStart"/>
            <w:r w:rsidRPr="00057561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Pharmacoepidemiologist</w:t>
            </w:r>
            <w:proofErr w:type="spellEnd"/>
            <w:r w:rsidRPr="00057561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 Founder and head of Think Tank “Medicines, Information and Power”, Universidad Nacional de Colombia</w:t>
            </w:r>
          </w:p>
        </w:tc>
      </w:tr>
      <w:tr w:rsidR="00057561" w:rsidRPr="00057561" w14:paraId="7CB07B7D" w14:textId="77777777" w:rsidTr="00057561">
        <w:tc>
          <w:tcPr>
            <w:tcW w:w="1980" w:type="dxa"/>
          </w:tcPr>
          <w:p w14:paraId="0B7F7B7E" w14:textId="77777777" w:rsidR="00057561" w:rsidRPr="00057561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34B1588E" w14:textId="51C5F7A4" w:rsidR="00057561" w:rsidRPr="00057561" w:rsidRDefault="00057561" w:rsidP="00057561">
            <w:pPr>
              <w:spacing w:after="120"/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 xml:space="preserve">Martin </w:t>
            </w:r>
            <w:proofErr w:type="spellStart"/>
            <w:r w:rsidRPr="00057561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Eling</w:t>
            </w:r>
            <w:proofErr w:type="spellEnd"/>
            <w:r w:rsidRPr="00057561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 xml:space="preserve">, Director of the Institute of Insurance Economics and Professor in Insurance Management at the University of </w:t>
            </w:r>
            <w:proofErr w:type="spellStart"/>
            <w:proofErr w:type="gramStart"/>
            <w:r w:rsidRPr="00057561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St.Gallen</w:t>
            </w:r>
            <w:proofErr w:type="spellEnd"/>
            <w:proofErr w:type="gramEnd"/>
          </w:p>
        </w:tc>
      </w:tr>
      <w:tr w:rsidR="00057561" w:rsidRPr="00327E53" w14:paraId="3DA37226" w14:textId="77777777" w:rsidTr="00057561">
        <w:tc>
          <w:tcPr>
            <w:tcW w:w="1980" w:type="dxa"/>
          </w:tcPr>
          <w:p w14:paraId="2E0A4341" w14:textId="77777777" w:rsidR="00057561" w:rsidRPr="00057561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1F197DE9" w14:textId="77777777" w:rsidR="00057561" w:rsidRDefault="00044B14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  <w:r w:rsidRPr="00044B14">
              <w:rPr>
                <w:rFonts w:ascii="Arial" w:hAnsi="Arial" w:cs="Arial"/>
                <w:b/>
                <w:iCs/>
                <w:color w:val="17365D" w:themeColor="text2" w:themeShade="BF"/>
                <w:szCs w:val="22"/>
                <w:lang w:val="fr-CH"/>
              </w:rPr>
              <w:t>Jean-Marc Deltorn</w:t>
            </w:r>
            <w:r w:rsidRPr="00044B14"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  <w:t xml:space="preserve">, Patent Examiner, </w:t>
            </w:r>
            <w:proofErr w:type="spellStart"/>
            <w:r w:rsidRPr="00044B14"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  <w:t>European</w:t>
            </w:r>
            <w:proofErr w:type="spellEnd"/>
            <w:r w:rsidRPr="00044B14"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  <w:t xml:space="preserve"> Patent Office</w:t>
            </w:r>
          </w:p>
          <w:p w14:paraId="5AC2DF3E" w14:textId="56B955B2" w:rsidR="005A4897" w:rsidRPr="00044B14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</w:p>
        </w:tc>
      </w:tr>
      <w:tr w:rsidR="005A4897" w:rsidRPr="005A4897" w14:paraId="7A01A89A" w14:textId="77777777" w:rsidTr="00057561">
        <w:tc>
          <w:tcPr>
            <w:tcW w:w="1980" w:type="dxa"/>
          </w:tcPr>
          <w:p w14:paraId="7FFDB5BE" w14:textId="77777777" w:rsidR="005A4897" w:rsidRPr="00BF6BBD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</w:p>
        </w:tc>
        <w:tc>
          <w:tcPr>
            <w:tcW w:w="6662" w:type="dxa"/>
          </w:tcPr>
          <w:p w14:paraId="43324158" w14:textId="754FF01C" w:rsidR="005A4897" w:rsidRPr="00E56DF2" w:rsidRDefault="00327E53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szCs w:val="22"/>
                <w:lang w:val="en-US"/>
              </w:rPr>
              <w:t>TBC</w:t>
            </w:r>
          </w:p>
        </w:tc>
        <w:bookmarkStart w:id="6" w:name="_GoBack"/>
        <w:bookmarkEnd w:id="6"/>
      </w:tr>
      <w:tr w:rsidR="005A4897" w:rsidRPr="005A4897" w14:paraId="0C507B50" w14:textId="77777777" w:rsidTr="00057561">
        <w:tc>
          <w:tcPr>
            <w:tcW w:w="1980" w:type="dxa"/>
          </w:tcPr>
          <w:p w14:paraId="22434BE7" w14:textId="77777777" w:rsidR="005A4897" w:rsidRPr="00057561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0AC395A4" w14:textId="77777777" w:rsidR="005A4897" w:rsidRPr="00E56DF2" w:rsidRDefault="005A4897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</w:p>
        </w:tc>
      </w:tr>
      <w:tr w:rsidR="005A4897" w:rsidRPr="005A4897" w14:paraId="5F298EA3" w14:textId="77777777" w:rsidTr="00057561">
        <w:tc>
          <w:tcPr>
            <w:tcW w:w="1980" w:type="dxa"/>
          </w:tcPr>
          <w:p w14:paraId="6999E332" w14:textId="704C0F3D" w:rsidR="005A4897" w:rsidRPr="00057561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</w:rPr>
            </w:pPr>
          </w:p>
        </w:tc>
        <w:tc>
          <w:tcPr>
            <w:tcW w:w="6662" w:type="dxa"/>
          </w:tcPr>
          <w:p w14:paraId="4FADF1FE" w14:textId="6D7F7FDF" w:rsidR="005A4897" w:rsidRDefault="00327E53" w:rsidP="00DA2CD8">
            <w:pPr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iCs/>
                <w:color w:val="17365D" w:themeColor="text2" w:themeShade="BF"/>
                <w:szCs w:val="22"/>
                <w:lang w:val="fr-CH"/>
              </w:rPr>
              <w:t>TBC</w:t>
            </w:r>
          </w:p>
        </w:tc>
      </w:tr>
      <w:bookmarkEnd w:id="5"/>
      <w:tr w:rsidR="00057561" w:rsidRPr="005A4897" w14:paraId="6683F0FA" w14:textId="77777777" w:rsidTr="00057561">
        <w:tc>
          <w:tcPr>
            <w:tcW w:w="1980" w:type="dxa"/>
          </w:tcPr>
          <w:p w14:paraId="3B4305D1" w14:textId="77777777" w:rsidR="00057561" w:rsidRPr="00044B14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</w:p>
        </w:tc>
        <w:tc>
          <w:tcPr>
            <w:tcW w:w="6662" w:type="dxa"/>
          </w:tcPr>
          <w:p w14:paraId="1542F307" w14:textId="4B83623D" w:rsidR="00057561" w:rsidRPr="00044B14" w:rsidRDefault="00057561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</w:p>
        </w:tc>
      </w:tr>
      <w:tr w:rsidR="005A4897" w:rsidRPr="005A4897" w14:paraId="7517B96A" w14:textId="77777777" w:rsidTr="00057561">
        <w:tc>
          <w:tcPr>
            <w:tcW w:w="1980" w:type="dxa"/>
          </w:tcPr>
          <w:p w14:paraId="7F199F38" w14:textId="6A9C6333" w:rsidR="005A4897" w:rsidRPr="00044B14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6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.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3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 – 1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7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.</w:t>
            </w: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  <w:r w:rsidRPr="008D113B"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0</w:t>
            </w:r>
          </w:p>
        </w:tc>
        <w:tc>
          <w:tcPr>
            <w:tcW w:w="6662" w:type="dxa"/>
          </w:tcPr>
          <w:p w14:paraId="14FE2680" w14:textId="18AA18B0" w:rsidR="005A4897" w:rsidRPr="00044B14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  <w:t>Discussion</w:t>
            </w:r>
          </w:p>
        </w:tc>
      </w:tr>
      <w:tr w:rsidR="005A4897" w:rsidRPr="005A4897" w14:paraId="61C665A9" w14:textId="77777777" w:rsidTr="00057561">
        <w:tc>
          <w:tcPr>
            <w:tcW w:w="1980" w:type="dxa"/>
          </w:tcPr>
          <w:p w14:paraId="03BC7509" w14:textId="77777777" w:rsidR="005A4897" w:rsidRPr="00044B14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</w:p>
        </w:tc>
        <w:tc>
          <w:tcPr>
            <w:tcW w:w="6662" w:type="dxa"/>
          </w:tcPr>
          <w:p w14:paraId="6FE2904A" w14:textId="77777777" w:rsidR="005A4897" w:rsidRPr="00044B14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</w:p>
        </w:tc>
      </w:tr>
      <w:tr w:rsidR="005A4897" w:rsidRPr="005A4897" w14:paraId="5D1A9526" w14:textId="77777777" w:rsidTr="00057561">
        <w:tc>
          <w:tcPr>
            <w:tcW w:w="1980" w:type="dxa"/>
          </w:tcPr>
          <w:p w14:paraId="000E7B2E" w14:textId="105A15EE" w:rsidR="005A4897" w:rsidRPr="00044B14" w:rsidRDefault="005A4897" w:rsidP="00DA2CD8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17h00 – 17h30</w:t>
            </w:r>
          </w:p>
        </w:tc>
        <w:tc>
          <w:tcPr>
            <w:tcW w:w="6662" w:type="dxa"/>
          </w:tcPr>
          <w:p w14:paraId="763D055D" w14:textId="77777777" w:rsidR="005A4897" w:rsidRPr="005A4897" w:rsidRDefault="005A4897" w:rsidP="005A4897">
            <w:pPr>
              <w:spacing w:after="120"/>
              <w:jc w:val="left"/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</w:pPr>
            <w:r w:rsidRPr="005A4897">
              <w:rPr>
                <w:rFonts w:ascii="Arial" w:hAnsi="Arial" w:cs="Arial"/>
                <w:b/>
                <w:iCs/>
                <w:color w:val="17365D" w:themeColor="text2" w:themeShade="BF"/>
                <w:szCs w:val="22"/>
              </w:rPr>
              <w:t>Closing</w:t>
            </w:r>
          </w:p>
          <w:p w14:paraId="469855A6" w14:textId="1E03A74A" w:rsidR="005A4897" w:rsidRPr="00044B14" w:rsidRDefault="005A4897" w:rsidP="005A4897">
            <w:pPr>
              <w:jc w:val="left"/>
              <w:rPr>
                <w:rFonts w:ascii="Arial" w:hAnsi="Arial" w:cs="Arial"/>
                <w:iCs/>
                <w:color w:val="17365D" w:themeColor="text2" w:themeShade="BF"/>
                <w:szCs w:val="22"/>
                <w:lang w:val="fr-CH"/>
              </w:rPr>
            </w:pPr>
            <w:r>
              <w:rPr>
                <w:rFonts w:ascii="Arial" w:hAnsi="Arial" w:cs="Arial"/>
                <w:iCs/>
                <w:color w:val="17365D" w:themeColor="text2" w:themeShade="BF"/>
                <w:szCs w:val="22"/>
              </w:rPr>
              <w:t>Speaker: (tbc)</w:t>
            </w:r>
          </w:p>
        </w:tc>
      </w:tr>
    </w:tbl>
    <w:p w14:paraId="50EFDB06" w14:textId="77777777" w:rsidR="00C866CC" w:rsidRPr="00044B14" w:rsidRDefault="00C866CC" w:rsidP="00DA2CD8">
      <w:pPr>
        <w:jc w:val="left"/>
        <w:rPr>
          <w:rFonts w:ascii="Arial" w:hAnsi="Arial" w:cs="Arial"/>
          <w:b/>
          <w:iCs/>
          <w:color w:val="17365D" w:themeColor="text2" w:themeShade="BF"/>
          <w:szCs w:val="22"/>
          <w:lang w:val="fr-CH"/>
        </w:rPr>
      </w:pPr>
    </w:p>
    <w:sectPr w:rsidR="00C866CC" w:rsidRPr="00044B14" w:rsidSect="009C7744">
      <w:head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6A31" w14:textId="77777777" w:rsidR="00331056" w:rsidRDefault="00331056" w:rsidP="00F65051">
      <w:r>
        <w:separator/>
      </w:r>
    </w:p>
  </w:endnote>
  <w:endnote w:type="continuationSeparator" w:id="0">
    <w:p w14:paraId="644AC65F" w14:textId="77777777" w:rsidR="00331056" w:rsidRDefault="00331056" w:rsidP="00F6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0343" w14:textId="77777777" w:rsidR="00331056" w:rsidRDefault="00331056" w:rsidP="00F65051">
      <w:r>
        <w:separator/>
      </w:r>
    </w:p>
  </w:footnote>
  <w:footnote w:type="continuationSeparator" w:id="0">
    <w:p w14:paraId="123AC11E" w14:textId="77777777" w:rsidR="00331056" w:rsidRDefault="00331056" w:rsidP="00F6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8696" w14:textId="1EC47B81" w:rsidR="009C7744" w:rsidRPr="009C7744" w:rsidRDefault="009C774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21355905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C7744">
          <w:rPr>
            <w:rFonts w:ascii="Arial" w:hAnsi="Arial" w:cs="Arial"/>
          </w:rPr>
          <w:fldChar w:fldCharType="begin"/>
        </w:r>
        <w:r w:rsidRPr="009C7744">
          <w:rPr>
            <w:rFonts w:ascii="Arial" w:hAnsi="Arial" w:cs="Arial"/>
          </w:rPr>
          <w:instrText xml:space="preserve"> PAGE   \* MERGEFORMAT </w:instrText>
        </w:r>
        <w:r w:rsidRPr="009C7744">
          <w:rPr>
            <w:rFonts w:ascii="Arial" w:hAnsi="Arial" w:cs="Arial"/>
          </w:rPr>
          <w:fldChar w:fldCharType="separate"/>
        </w:r>
        <w:r w:rsidR="0091086F">
          <w:rPr>
            <w:rFonts w:ascii="Arial" w:hAnsi="Arial" w:cs="Arial"/>
            <w:noProof/>
          </w:rPr>
          <w:t>5</w:t>
        </w:r>
        <w:r w:rsidRPr="009C7744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-</w:t>
        </w:r>
      </w:sdtContent>
    </w:sdt>
  </w:p>
  <w:p w14:paraId="0D9E0ECF" w14:textId="479DF3F0" w:rsidR="00DF6BEC" w:rsidRPr="009C7744" w:rsidRDefault="00327E53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1291165686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lang w:val="en-US" w:eastAsia="zh-TW"/>
          </w:rPr>
          <w:pict w14:anchorId="5A6EE5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7" w:type="dxa"/>
      <w:tblInd w:w="108" w:type="dxa"/>
      <w:tblLook w:val="04A0" w:firstRow="1" w:lastRow="0" w:firstColumn="1" w:lastColumn="0" w:noHBand="0" w:noVBand="1"/>
    </w:tblPr>
    <w:tblGrid>
      <w:gridCol w:w="3686"/>
      <w:gridCol w:w="3402"/>
      <w:gridCol w:w="2869"/>
    </w:tblGrid>
    <w:tr w:rsidR="009C7744" w14:paraId="60F37F88" w14:textId="77777777" w:rsidTr="00C051C2">
      <w:trPr>
        <w:trHeight w:val="2016"/>
      </w:trPr>
      <w:tc>
        <w:tcPr>
          <w:tcW w:w="3686" w:type="dxa"/>
        </w:tcPr>
        <w:p w14:paraId="4DD29179" w14:textId="77777777" w:rsidR="009C7744" w:rsidRDefault="009C7744" w:rsidP="009C7744">
          <w:pPr>
            <w:suppressAutoHyphens/>
            <w:rPr>
              <w:lang w:eastAsia="ja-JP"/>
            </w:rPr>
          </w:pPr>
        </w:p>
        <w:p w14:paraId="2223A414" w14:textId="77777777" w:rsidR="009C7744" w:rsidRDefault="009C7744" w:rsidP="009C7744">
          <w:pPr>
            <w:suppressAutoHyphens/>
            <w:rPr>
              <w:lang w:eastAsia="ja-JP"/>
            </w:rPr>
          </w:pPr>
        </w:p>
        <w:p w14:paraId="4C5A53EE" w14:textId="77777777" w:rsidR="009C7744" w:rsidRDefault="009C7744" w:rsidP="009C7744">
          <w:pPr>
            <w:suppressAutoHyphens/>
            <w:rPr>
              <w:lang w:eastAsia="ja-JP"/>
            </w:rPr>
          </w:pPr>
        </w:p>
        <w:p w14:paraId="4052A1EF" w14:textId="77777777" w:rsidR="009C7744" w:rsidRDefault="009C7744" w:rsidP="009C7744">
          <w:pPr>
            <w:suppressAutoHyphens/>
            <w:rPr>
              <w:rFonts w:ascii="Arial" w:hAnsi="Arial" w:cs="Arial"/>
              <w:color w:val="000000"/>
              <w:lang w:eastAsia="ja-JP"/>
            </w:rPr>
          </w:pPr>
          <w:r>
            <w:rPr>
              <w:noProof/>
              <w:lang w:val="en-US"/>
            </w:rPr>
            <w:drawing>
              <wp:inline distT="0" distB="0" distL="0" distR="0" wp14:anchorId="6B76349E" wp14:editId="30CD749B">
                <wp:extent cx="1579245" cy="487680"/>
                <wp:effectExtent l="0" t="0" r="1905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3D1B2AD0" w14:textId="77777777" w:rsidR="009C7744" w:rsidRDefault="009C7744" w:rsidP="009C7744">
          <w:pPr>
            <w:suppressAutoHyphens/>
            <w:rPr>
              <w:rFonts w:ascii="Arial" w:hAnsi="Arial" w:cs="Arial"/>
              <w:color w:val="000000"/>
              <w:lang w:eastAsia="ja-JP"/>
            </w:rPr>
          </w:pPr>
          <w:r>
            <w:rPr>
              <w:rFonts w:ascii="Arial" w:hAnsi="Arial" w:cs="Arial"/>
              <w:noProof/>
              <w:color w:val="000000"/>
              <w:lang w:val="en-US"/>
            </w:rPr>
            <w:drawing>
              <wp:inline distT="0" distB="0" distL="0" distR="0" wp14:anchorId="54FF24AA" wp14:editId="5B2E7D1A">
                <wp:extent cx="1656715" cy="1152525"/>
                <wp:effectExtent l="0" t="0" r="635" b="9525"/>
                <wp:docPr id="8" name="Picture 8" descr="WIPO-E-SHA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IPO-E-SHA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71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564630FF" w14:textId="77777777" w:rsidR="009C7744" w:rsidRDefault="009C7744" w:rsidP="009C7744">
          <w:pPr>
            <w:suppressAutoHyphens/>
            <w:rPr>
              <w:rFonts w:ascii="Verdana" w:hAnsi="Verdana"/>
              <w:lang w:eastAsia="ja-JP"/>
            </w:rPr>
          </w:pPr>
        </w:p>
        <w:p w14:paraId="5DD292C2" w14:textId="77777777" w:rsidR="009C7744" w:rsidRDefault="009C7744" w:rsidP="009C7744">
          <w:pPr>
            <w:suppressAutoHyphens/>
            <w:rPr>
              <w:lang w:eastAsia="ja-JP"/>
            </w:rPr>
          </w:pPr>
        </w:p>
        <w:p w14:paraId="7254FA6F" w14:textId="77777777" w:rsidR="009C7744" w:rsidRDefault="009C7744" w:rsidP="009C7744">
          <w:pPr>
            <w:suppressAutoHyphens/>
            <w:rPr>
              <w:lang w:eastAsia="ja-JP"/>
            </w:rPr>
          </w:pPr>
        </w:p>
        <w:p w14:paraId="41186BFC" w14:textId="77777777" w:rsidR="009C7744" w:rsidRDefault="009C7744" w:rsidP="009C7744">
          <w:pPr>
            <w:suppressAutoHyphens/>
            <w:rPr>
              <w:rFonts w:ascii="Arial" w:hAnsi="Arial" w:cs="Arial"/>
              <w:color w:val="000000"/>
              <w:lang w:eastAsia="ja-JP"/>
            </w:rPr>
          </w:pPr>
          <w:r>
            <w:rPr>
              <w:noProof/>
              <w:lang w:val="en-US"/>
            </w:rPr>
            <w:drawing>
              <wp:inline distT="0" distB="0" distL="0" distR="0" wp14:anchorId="21822524" wp14:editId="18D78FA0">
                <wp:extent cx="1656715" cy="487680"/>
                <wp:effectExtent l="0" t="0" r="635" b="7620"/>
                <wp:docPr id="7" name="Picture 7" descr="WTO_ENG_CMJ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TO_ENG_CMJ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706E34" w14:textId="77777777" w:rsidR="009C7744" w:rsidRDefault="009C7744" w:rsidP="009C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F65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C65E3"/>
    <w:multiLevelType w:val="hybridMultilevel"/>
    <w:tmpl w:val="10D40C14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D101B0"/>
    <w:multiLevelType w:val="hybridMultilevel"/>
    <w:tmpl w:val="DBBC4B4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9FB6871"/>
    <w:multiLevelType w:val="multilevel"/>
    <w:tmpl w:val="17EC3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E283A"/>
    <w:multiLevelType w:val="multilevel"/>
    <w:tmpl w:val="0AE4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A0E8B"/>
    <w:multiLevelType w:val="hybridMultilevel"/>
    <w:tmpl w:val="1DC67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7B25"/>
    <w:multiLevelType w:val="hybridMultilevel"/>
    <w:tmpl w:val="6F625D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B1C5AAB"/>
    <w:multiLevelType w:val="hybridMultilevel"/>
    <w:tmpl w:val="3FFE53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3B82875"/>
    <w:multiLevelType w:val="multilevel"/>
    <w:tmpl w:val="E5D00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  <w:b/>
        <w:bCs/>
        <w:u w:val="none"/>
      </w:rPr>
    </w:lvl>
    <w:lvl w:ilvl="2">
      <w:start w:val="1"/>
      <w:numFmt w:val="upperLetter"/>
      <w:lvlText w:val="%1.%2.%3"/>
      <w:lvlJc w:val="left"/>
      <w:pPr>
        <w:ind w:left="5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  <w:u w:val="none"/>
      </w:rPr>
    </w:lvl>
  </w:abstractNum>
  <w:abstractNum w:abstractNumId="9" w15:restartNumberingAfterBreak="0">
    <w:nsid w:val="4C117ABA"/>
    <w:multiLevelType w:val="hybridMultilevel"/>
    <w:tmpl w:val="2702D2D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506F68A1"/>
    <w:multiLevelType w:val="hybridMultilevel"/>
    <w:tmpl w:val="7CE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20F4"/>
    <w:multiLevelType w:val="hybridMultilevel"/>
    <w:tmpl w:val="B84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831"/>
    <w:multiLevelType w:val="hybridMultilevel"/>
    <w:tmpl w:val="AA82C388"/>
    <w:lvl w:ilvl="0" w:tplc="CAD63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51"/>
    <w:rsid w:val="0000168E"/>
    <w:rsid w:val="00006D70"/>
    <w:rsid w:val="00016639"/>
    <w:rsid w:val="000414FE"/>
    <w:rsid w:val="000448F1"/>
    <w:rsid w:val="00044B14"/>
    <w:rsid w:val="000549A4"/>
    <w:rsid w:val="00057561"/>
    <w:rsid w:val="000613B7"/>
    <w:rsid w:val="0009060A"/>
    <w:rsid w:val="00090795"/>
    <w:rsid w:val="00093748"/>
    <w:rsid w:val="000A0AD0"/>
    <w:rsid w:val="000A3F09"/>
    <w:rsid w:val="000C31BA"/>
    <w:rsid w:val="000C5147"/>
    <w:rsid w:val="000C60DE"/>
    <w:rsid w:val="000D7688"/>
    <w:rsid w:val="000E5D8C"/>
    <w:rsid w:val="00105AFD"/>
    <w:rsid w:val="00112984"/>
    <w:rsid w:val="00120877"/>
    <w:rsid w:val="00121529"/>
    <w:rsid w:val="0012666C"/>
    <w:rsid w:val="0014227E"/>
    <w:rsid w:val="00160317"/>
    <w:rsid w:val="001639D6"/>
    <w:rsid w:val="00166BED"/>
    <w:rsid w:val="00184192"/>
    <w:rsid w:val="001A06EC"/>
    <w:rsid w:val="001A4D2B"/>
    <w:rsid w:val="001A6975"/>
    <w:rsid w:val="001B1BC0"/>
    <w:rsid w:val="001C6A9E"/>
    <w:rsid w:val="001C6D80"/>
    <w:rsid w:val="001C7612"/>
    <w:rsid w:val="001D0A76"/>
    <w:rsid w:val="001D0EE7"/>
    <w:rsid w:val="001D5574"/>
    <w:rsid w:val="001F09F1"/>
    <w:rsid w:val="001F7974"/>
    <w:rsid w:val="00201901"/>
    <w:rsid w:val="0020428F"/>
    <w:rsid w:val="0022113C"/>
    <w:rsid w:val="00225A45"/>
    <w:rsid w:val="002447BD"/>
    <w:rsid w:val="00244E5F"/>
    <w:rsid w:val="00262456"/>
    <w:rsid w:val="00262FCE"/>
    <w:rsid w:val="00266744"/>
    <w:rsid w:val="00267E45"/>
    <w:rsid w:val="002707A1"/>
    <w:rsid w:val="00282F5A"/>
    <w:rsid w:val="00283BFB"/>
    <w:rsid w:val="00292353"/>
    <w:rsid w:val="002958A8"/>
    <w:rsid w:val="00296CEA"/>
    <w:rsid w:val="002A16CB"/>
    <w:rsid w:val="002A1EC1"/>
    <w:rsid w:val="002C38E1"/>
    <w:rsid w:val="002D0A76"/>
    <w:rsid w:val="002E7231"/>
    <w:rsid w:val="002F0414"/>
    <w:rsid w:val="002F07F9"/>
    <w:rsid w:val="002F221C"/>
    <w:rsid w:val="00305C52"/>
    <w:rsid w:val="0032606A"/>
    <w:rsid w:val="00327E53"/>
    <w:rsid w:val="00331056"/>
    <w:rsid w:val="0033331B"/>
    <w:rsid w:val="003522FE"/>
    <w:rsid w:val="00355A2B"/>
    <w:rsid w:val="00357014"/>
    <w:rsid w:val="00360AE7"/>
    <w:rsid w:val="00366C02"/>
    <w:rsid w:val="003730BA"/>
    <w:rsid w:val="00383BEF"/>
    <w:rsid w:val="003A3C0A"/>
    <w:rsid w:val="003C0455"/>
    <w:rsid w:val="003C0EB0"/>
    <w:rsid w:val="003D4323"/>
    <w:rsid w:val="003E0530"/>
    <w:rsid w:val="003F0C15"/>
    <w:rsid w:val="003F0FDE"/>
    <w:rsid w:val="003F5F6B"/>
    <w:rsid w:val="00421504"/>
    <w:rsid w:val="00423BF4"/>
    <w:rsid w:val="0043109C"/>
    <w:rsid w:val="00436EA9"/>
    <w:rsid w:val="00455D00"/>
    <w:rsid w:val="004654B4"/>
    <w:rsid w:val="00484AC4"/>
    <w:rsid w:val="004927A0"/>
    <w:rsid w:val="004A5E3E"/>
    <w:rsid w:val="004A79C6"/>
    <w:rsid w:val="004C19C0"/>
    <w:rsid w:val="004D3E98"/>
    <w:rsid w:val="004E2AA0"/>
    <w:rsid w:val="004E3C7C"/>
    <w:rsid w:val="004E590F"/>
    <w:rsid w:val="00506541"/>
    <w:rsid w:val="00514B3E"/>
    <w:rsid w:val="00517091"/>
    <w:rsid w:val="0052466D"/>
    <w:rsid w:val="00536434"/>
    <w:rsid w:val="0054360C"/>
    <w:rsid w:val="00544F64"/>
    <w:rsid w:val="00557B86"/>
    <w:rsid w:val="00560C0B"/>
    <w:rsid w:val="00563F7A"/>
    <w:rsid w:val="0057116B"/>
    <w:rsid w:val="00592760"/>
    <w:rsid w:val="0059465E"/>
    <w:rsid w:val="005969A7"/>
    <w:rsid w:val="005A051B"/>
    <w:rsid w:val="005A2C8C"/>
    <w:rsid w:val="005A4897"/>
    <w:rsid w:val="005B0B83"/>
    <w:rsid w:val="005C256C"/>
    <w:rsid w:val="005C286F"/>
    <w:rsid w:val="005C596E"/>
    <w:rsid w:val="005D080D"/>
    <w:rsid w:val="005E14BD"/>
    <w:rsid w:val="005E1CC2"/>
    <w:rsid w:val="005E5DC9"/>
    <w:rsid w:val="005F035A"/>
    <w:rsid w:val="005F0A6E"/>
    <w:rsid w:val="00615F01"/>
    <w:rsid w:val="0061648B"/>
    <w:rsid w:val="006256CA"/>
    <w:rsid w:val="0063645E"/>
    <w:rsid w:val="00643525"/>
    <w:rsid w:val="0064572C"/>
    <w:rsid w:val="0065424D"/>
    <w:rsid w:val="00656EE9"/>
    <w:rsid w:val="00660958"/>
    <w:rsid w:val="006706C3"/>
    <w:rsid w:val="0068190E"/>
    <w:rsid w:val="00683226"/>
    <w:rsid w:val="00686B00"/>
    <w:rsid w:val="006A2819"/>
    <w:rsid w:val="006A543A"/>
    <w:rsid w:val="006A753C"/>
    <w:rsid w:val="006B73E4"/>
    <w:rsid w:val="006C24FC"/>
    <w:rsid w:val="006C26C1"/>
    <w:rsid w:val="006C3372"/>
    <w:rsid w:val="006C51E9"/>
    <w:rsid w:val="006C7054"/>
    <w:rsid w:val="006D3ED6"/>
    <w:rsid w:val="006D65AE"/>
    <w:rsid w:val="006F1392"/>
    <w:rsid w:val="0070135D"/>
    <w:rsid w:val="00701B31"/>
    <w:rsid w:val="00706C5E"/>
    <w:rsid w:val="00716195"/>
    <w:rsid w:val="00721268"/>
    <w:rsid w:val="007236D6"/>
    <w:rsid w:val="007315CD"/>
    <w:rsid w:val="00764A81"/>
    <w:rsid w:val="007737CC"/>
    <w:rsid w:val="0077588E"/>
    <w:rsid w:val="007801F6"/>
    <w:rsid w:val="00783690"/>
    <w:rsid w:val="00786ADA"/>
    <w:rsid w:val="00792330"/>
    <w:rsid w:val="00792CD4"/>
    <w:rsid w:val="007A3258"/>
    <w:rsid w:val="007B1709"/>
    <w:rsid w:val="007B5B71"/>
    <w:rsid w:val="007D17A4"/>
    <w:rsid w:val="007E1E53"/>
    <w:rsid w:val="007E3CE6"/>
    <w:rsid w:val="007E58D5"/>
    <w:rsid w:val="007F57FD"/>
    <w:rsid w:val="00802E81"/>
    <w:rsid w:val="00810171"/>
    <w:rsid w:val="00826C81"/>
    <w:rsid w:val="00826D09"/>
    <w:rsid w:val="00835D7B"/>
    <w:rsid w:val="00836792"/>
    <w:rsid w:val="00850709"/>
    <w:rsid w:val="00855DC2"/>
    <w:rsid w:val="00863632"/>
    <w:rsid w:val="008652CB"/>
    <w:rsid w:val="00882206"/>
    <w:rsid w:val="00882737"/>
    <w:rsid w:val="008838E1"/>
    <w:rsid w:val="008954B9"/>
    <w:rsid w:val="00896279"/>
    <w:rsid w:val="008B2D81"/>
    <w:rsid w:val="008B4C01"/>
    <w:rsid w:val="008D113B"/>
    <w:rsid w:val="008E3744"/>
    <w:rsid w:val="008E4792"/>
    <w:rsid w:val="008E579C"/>
    <w:rsid w:val="00901D51"/>
    <w:rsid w:val="0090202D"/>
    <w:rsid w:val="0090334C"/>
    <w:rsid w:val="00904320"/>
    <w:rsid w:val="0091086F"/>
    <w:rsid w:val="0091486E"/>
    <w:rsid w:val="00917732"/>
    <w:rsid w:val="009262B4"/>
    <w:rsid w:val="0093286D"/>
    <w:rsid w:val="009328ED"/>
    <w:rsid w:val="00934145"/>
    <w:rsid w:val="0093522B"/>
    <w:rsid w:val="009421A8"/>
    <w:rsid w:val="00942A3D"/>
    <w:rsid w:val="0094594A"/>
    <w:rsid w:val="00952CC4"/>
    <w:rsid w:val="009533A8"/>
    <w:rsid w:val="00961FC9"/>
    <w:rsid w:val="00987A29"/>
    <w:rsid w:val="00991B8D"/>
    <w:rsid w:val="0099682F"/>
    <w:rsid w:val="00997FEA"/>
    <w:rsid w:val="009C7744"/>
    <w:rsid w:val="009D174D"/>
    <w:rsid w:val="009D3D59"/>
    <w:rsid w:val="009E17B0"/>
    <w:rsid w:val="009F1F04"/>
    <w:rsid w:val="00A032E8"/>
    <w:rsid w:val="00A107EB"/>
    <w:rsid w:val="00A21290"/>
    <w:rsid w:val="00A278B6"/>
    <w:rsid w:val="00A323D9"/>
    <w:rsid w:val="00A36D91"/>
    <w:rsid w:val="00A50A02"/>
    <w:rsid w:val="00A60A3A"/>
    <w:rsid w:val="00A61354"/>
    <w:rsid w:val="00A61942"/>
    <w:rsid w:val="00A839F8"/>
    <w:rsid w:val="00A843AA"/>
    <w:rsid w:val="00A851A8"/>
    <w:rsid w:val="00A9601E"/>
    <w:rsid w:val="00A964B9"/>
    <w:rsid w:val="00A97E3A"/>
    <w:rsid w:val="00AB6269"/>
    <w:rsid w:val="00AC136C"/>
    <w:rsid w:val="00AC57D1"/>
    <w:rsid w:val="00AE4C3F"/>
    <w:rsid w:val="00AE7A5A"/>
    <w:rsid w:val="00AF13C8"/>
    <w:rsid w:val="00AF5152"/>
    <w:rsid w:val="00B053CB"/>
    <w:rsid w:val="00B2407A"/>
    <w:rsid w:val="00B454CD"/>
    <w:rsid w:val="00B733FB"/>
    <w:rsid w:val="00B7389F"/>
    <w:rsid w:val="00B74207"/>
    <w:rsid w:val="00B74A1A"/>
    <w:rsid w:val="00B76811"/>
    <w:rsid w:val="00BA04A3"/>
    <w:rsid w:val="00BA2B59"/>
    <w:rsid w:val="00BB41BC"/>
    <w:rsid w:val="00BC3150"/>
    <w:rsid w:val="00BC4865"/>
    <w:rsid w:val="00BD155A"/>
    <w:rsid w:val="00BE6D2C"/>
    <w:rsid w:val="00BF08C9"/>
    <w:rsid w:val="00BF18B3"/>
    <w:rsid w:val="00BF6BBD"/>
    <w:rsid w:val="00BF6C99"/>
    <w:rsid w:val="00C00BB3"/>
    <w:rsid w:val="00C040C8"/>
    <w:rsid w:val="00C047AC"/>
    <w:rsid w:val="00C060C8"/>
    <w:rsid w:val="00C10228"/>
    <w:rsid w:val="00C104A8"/>
    <w:rsid w:val="00C24475"/>
    <w:rsid w:val="00C300C3"/>
    <w:rsid w:val="00C523F6"/>
    <w:rsid w:val="00C5360B"/>
    <w:rsid w:val="00C55532"/>
    <w:rsid w:val="00C626FD"/>
    <w:rsid w:val="00C658FA"/>
    <w:rsid w:val="00C76091"/>
    <w:rsid w:val="00C866CC"/>
    <w:rsid w:val="00C92E6A"/>
    <w:rsid w:val="00C93080"/>
    <w:rsid w:val="00CA047F"/>
    <w:rsid w:val="00CB1655"/>
    <w:rsid w:val="00CB645D"/>
    <w:rsid w:val="00CB6F51"/>
    <w:rsid w:val="00CC1CE1"/>
    <w:rsid w:val="00CC1E5A"/>
    <w:rsid w:val="00CC4679"/>
    <w:rsid w:val="00CD7EC6"/>
    <w:rsid w:val="00CE3076"/>
    <w:rsid w:val="00CF264B"/>
    <w:rsid w:val="00D037BF"/>
    <w:rsid w:val="00D10BD9"/>
    <w:rsid w:val="00D10C17"/>
    <w:rsid w:val="00D20869"/>
    <w:rsid w:val="00D2644F"/>
    <w:rsid w:val="00D369FF"/>
    <w:rsid w:val="00D40604"/>
    <w:rsid w:val="00D51F8D"/>
    <w:rsid w:val="00D60A60"/>
    <w:rsid w:val="00D62C56"/>
    <w:rsid w:val="00D636D3"/>
    <w:rsid w:val="00D67F02"/>
    <w:rsid w:val="00D70768"/>
    <w:rsid w:val="00D8091D"/>
    <w:rsid w:val="00D87CC5"/>
    <w:rsid w:val="00D96CDE"/>
    <w:rsid w:val="00D97C97"/>
    <w:rsid w:val="00DA2CD8"/>
    <w:rsid w:val="00DA354F"/>
    <w:rsid w:val="00DA4A4A"/>
    <w:rsid w:val="00DB0D4E"/>
    <w:rsid w:val="00DC3C94"/>
    <w:rsid w:val="00DC4E3A"/>
    <w:rsid w:val="00DC4F4F"/>
    <w:rsid w:val="00DC5C81"/>
    <w:rsid w:val="00DD34DB"/>
    <w:rsid w:val="00DD591F"/>
    <w:rsid w:val="00DE314F"/>
    <w:rsid w:val="00DE53E9"/>
    <w:rsid w:val="00DE7E49"/>
    <w:rsid w:val="00DE7E82"/>
    <w:rsid w:val="00DF6235"/>
    <w:rsid w:val="00DF6BEC"/>
    <w:rsid w:val="00E00DF7"/>
    <w:rsid w:val="00E37568"/>
    <w:rsid w:val="00E56DF2"/>
    <w:rsid w:val="00E57F9E"/>
    <w:rsid w:val="00E72F66"/>
    <w:rsid w:val="00E73705"/>
    <w:rsid w:val="00E80821"/>
    <w:rsid w:val="00E83D2B"/>
    <w:rsid w:val="00E84488"/>
    <w:rsid w:val="00E84AF7"/>
    <w:rsid w:val="00E947A8"/>
    <w:rsid w:val="00EA2B6A"/>
    <w:rsid w:val="00EB3D14"/>
    <w:rsid w:val="00EB58D2"/>
    <w:rsid w:val="00EB72B9"/>
    <w:rsid w:val="00EB7DC5"/>
    <w:rsid w:val="00EC0974"/>
    <w:rsid w:val="00EE4F15"/>
    <w:rsid w:val="00EE703E"/>
    <w:rsid w:val="00EF3A46"/>
    <w:rsid w:val="00F026D1"/>
    <w:rsid w:val="00F032B8"/>
    <w:rsid w:val="00F12907"/>
    <w:rsid w:val="00F21A04"/>
    <w:rsid w:val="00F26622"/>
    <w:rsid w:val="00F336D7"/>
    <w:rsid w:val="00F3397A"/>
    <w:rsid w:val="00F35E56"/>
    <w:rsid w:val="00F3695A"/>
    <w:rsid w:val="00F4450E"/>
    <w:rsid w:val="00F4500C"/>
    <w:rsid w:val="00F562D5"/>
    <w:rsid w:val="00F65051"/>
    <w:rsid w:val="00F70847"/>
    <w:rsid w:val="00F838C0"/>
    <w:rsid w:val="00F9373C"/>
    <w:rsid w:val="00F96BB0"/>
    <w:rsid w:val="00FA7A3E"/>
    <w:rsid w:val="00FB25E5"/>
    <w:rsid w:val="00FB45F0"/>
    <w:rsid w:val="00FB7660"/>
    <w:rsid w:val="00FC55C2"/>
    <w:rsid w:val="00FD49CB"/>
    <w:rsid w:val="00FD5E9E"/>
    <w:rsid w:val="00FE36B2"/>
    <w:rsid w:val="00FE597D"/>
    <w:rsid w:val="00FE6A05"/>
    <w:rsid w:val="00FF3884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D6E483"/>
  <w15:docId w15:val="{A3BD1326-0278-4E43-AAE8-B57B84A8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51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50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5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F650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5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C1C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E5A"/>
    <w:pPr>
      <w:tabs>
        <w:tab w:val="clear" w:pos="7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5A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1E5A"/>
    <w:pPr>
      <w:tabs>
        <w:tab w:val="clear" w:pos="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5A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4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D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D2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D2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B0D4E"/>
    <w:pPr>
      <w:tabs>
        <w:tab w:val="clear" w:pos="720"/>
      </w:tabs>
      <w:spacing w:before="100" w:beforeAutospacing="1" w:after="100" w:afterAutospacing="1"/>
      <w:jc w:val="left"/>
    </w:pPr>
    <w:rPr>
      <w:sz w:val="24"/>
      <w:szCs w:val="24"/>
      <w:lang w:val="en-US" w:eastAsia="ja-JP"/>
    </w:rPr>
  </w:style>
  <w:style w:type="paragraph" w:customStyle="1" w:styleId="Default">
    <w:name w:val="Default"/>
    <w:rsid w:val="006A5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ingleTxt">
    <w:name w:val="__Single Txt"/>
    <w:basedOn w:val="Normal"/>
    <w:rsid w:val="00E80821"/>
    <w:pPr>
      <w:tabs>
        <w:tab w:val="clear" w:pos="720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</w:pPr>
    <w:rPr>
      <w:rFonts w:eastAsiaTheme="minorHAnsi"/>
      <w:spacing w:val="4"/>
      <w:w w:val="103"/>
      <w:kern w:val="14"/>
      <w:sz w:val="20"/>
    </w:rPr>
  </w:style>
  <w:style w:type="paragraph" w:styleId="ListBullet">
    <w:name w:val="List Bullet"/>
    <w:basedOn w:val="Normal"/>
    <w:uiPriority w:val="99"/>
    <w:unhideWhenUsed/>
    <w:rsid w:val="00DA2CD8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7F0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B86"/>
    <w:pPr>
      <w:tabs>
        <w:tab w:val="clear" w:pos="720"/>
      </w:tabs>
      <w:ind w:left="720"/>
      <w:contextualSpacing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48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F361-53F9-4A18-ACAE-30772C3D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HOMB, Nicole</dc:creator>
  <cp:lastModifiedBy>Kampf, Roger</cp:lastModifiedBy>
  <cp:revision>3</cp:revision>
  <cp:lastPrinted>2019-06-07T09:19:00Z</cp:lastPrinted>
  <dcterms:created xsi:type="dcterms:W3CDTF">2019-07-18T06:31:00Z</dcterms:created>
  <dcterms:modified xsi:type="dcterms:W3CDTF">2019-07-18T06:31:00Z</dcterms:modified>
</cp:coreProperties>
</file>