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56E0" w14:textId="77777777" w:rsidR="0045096C" w:rsidRPr="0045096C" w:rsidRDefault="0045096C" w:rsidP="006015B5">
      <w:pPr>
        <w:jc w:val="center"/>
        <w:rPr>
          <w:b/>
        </w:rPr>
      </w:pPr>
    </w:p>
    <w:p w14:paraId="2A6FBD39" w14:textId="632C0178" w:rsidR="006603A4" w:rsidRPr="0030755A" w:rsidRDefault="00B95FCD" w:rsidP="002832C7">
      <w:pPr>
        <w:jc w:val="center"/>
        <w:rPr>
          <w:b/>
          <w:lang w:val="fr-CH"/>
        </w:rPr>
      </w:pPr>
      <w:r w:rsidRPr="0030755A">
        <w:rPr>
          <w:b/>
          <w:lang w:val="fr-CH"/>
        </w:rPr>
        <w:t>ATELIER REGIONAL SUR L'ETAT DES NEGOCIATIONS A L'OMC</w:t>
      </w:r>
      <w:r w:rsidR="002832C7" w:rsidRPr="0030755A">
        <w:rPr>
          <w:b/>
          <w:lang w:val="fr-CH"/>
        </w:rPr>
        <w:t xml:space="preserve"> </w:t>
      </w:r>
    </w:p>
    <w:p w14:paraId="6DE774DD" w14:textId="16699BDA" w:rsidR="002A6E70" w:rsidRPr="00E558C0" w:rsidRDefault="00E558C0" w:rsidP="00880E5E">
      <w:pPr>
        <w:jc w:val="center"/>
        <w:rPr>
          <w:b/>
          <w:bCs/>
          <w:i/>
        </w:rPr>
      </w:pPr>
      <w:r w:rsidRPr="00E558C0">
        <w:rPr>
          <w:b/>
          <w:bCs/>
          <w:i/>
        </w:rPr>
        <w:t>09-10-11 Mars 2021</w:t>
      </w:r>
    </w:p>
    <w:p w14:paraId="637B27D0" w14:textId="77777777" w:rsidR="002832C7" w:rsidRPr="00E558C0" w:rsidRDefault="002832C7" w:rsidP="002832C7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651"/>
      </w:tblGrid>
      <w:tr w:rsidR="006603A4" w14:paraId="41AE1B67" w14:textId="77777777" w:rsidTr="00B2788D">
        <w:trPr>
          <w:trHeight w:val="439"/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0176B298" w14:textId="04D52946" w:rsidR="006603A4" w:rsidRPr="00563B44" w:rsidRDefault="006E7991" w:rsidP="00B2788D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Journée</w:t>
            </w:r>
            <w:proofErr w:type="spellEnd"/>
            <w:r>
              <w:rPr>
                <w:b/>
              </w:rPr>
              <w:t xml:space="preserve"> 1 </w:t>
            </w:r>
          </w:p>
        </w:tc>
      </w:tr>
      <w:tr w:rsidR="006603A4" w:rsidRPr="00E558C0" w14:paraId="1A9758C0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432E1EE" w14:textId="77777777" w:rsidR="00E51679" w:rsidRPr="004807E9" w:rsidRDefault="00E51679" w:rsidP="00BC5C33">
            <w:pPr>
              <w:jc w:val="center"/>
            </w:pPr>
            <w:bookmarkStart w:id="0" w:name="_Hlk20746866"/>
          </w:p>
          <w:p w14:paraId="3F12583A" w14:textId="78284380" w:rsidR="006603A4" w:rsidRPr="004807E9" w:rsidRDefault="005552C4" w:rsidP="00BC5C33">
            <w:pPr>
              <w:jc w:val="center"/>
            </w:pPr>
            <w:r>
              <w:t>30</w:t>
            </w:r>
            <w:r w:rsidR="006364A9">
              <w:t>'</w:t>
            </w:r>
          </w:p>
          <w:p w14:paraId="3DCF9112" w14:textId="77777777" w:rsidR="00E51679" w:rsidRPr="004807E9" w:rsidRDefault="00E51679" w:rsidP="00BC5C33">
            <w:pPr>
              <w:jc w:val="center"/>
            </w:pPr>
          </w:p>
        </w:tc>
        <w:tc>
          <w:tcPr>
            <w:tcW w:w="6651" w:type="dxa"/>
            <w:shd w:val="clear" w:color="auto" w:fill="DBE5F1" w:themeFill="accent1" w:themeFillTint="33"/>
          </w:tcPr>
          <w:p w14:paraId="5EFD3DDF" w14:textId="77777777" w:rsidR="006603A4" w:rsidRDefault="006603A4" w:rsidP="00242A37">
            <w:pPr>
              <w:pStyle w:val="ListParagraph"/>
            </w:pPr>
          </w:p>
          <w:p w14:paraId="343B8827" w14:textId="61CEFC36" w:rsidR="00BC5C33" w:rsidRDefault="00BC5C33" w:rsidP="007A4F6E">
            <w:pPr>
              <w:rPr>
                <w:b/>
              </w:rPr>
            </w:pPr>
            <w:r>
              <w:rPr>
                <w:b/>
              </w:rPr>
              <w:t>Session</w:t>
            </w:r>
            <w:r w:rsidR="008F03DE">
              <w:rPr>
                <w:b/>
              </w:rPr>
              <w:t xml:space="preserve"> </w:t>
            </w:r>
            <w:proofErr w:type="spellStart"/>
            <w:r w:rsidR="008F03DE">
              <w:rPr>
                <w:b/>
              </w:rPr>
              <w:t>d'ouverture</w:t>
            </w:r>
            <w:proofErr w:type="spellEnd"/>
          </w:p>
          <w:p w14:paraId="6AE30879" w14:textId="77777777" w:rsidR="00BC5C33" w:rsidRDefault="00BC5C33" w:rsidP="007A4F6E">
            <w:pPr>
              <w:rPr>
                <w:b/>
              </w:rPr>
            </w:pPr>
          </w:p>
          <w:p w14:paraId="1178A808" w14:textId="4CA371F5" w:rsidR="00BC5C33" w:rsidRPr="00D250AD" w:rsidRDefault="008F03DE" w:rsidP="00BC5C33">
            <w:pPr>
              <w:pStyle w:val="ListParagraph"/>
              <w:numPr>
                <w:ilvl w:val="0"/>
                <w:numId w:val="19"/>
              </w:numPr>
              <w:rPr>
                <w:lang w:val="fr-CH"/>
              </w:rPr>
            </w:pPr>
            <w:r w:rsidRPr="00D250AD">
              <w:rPr>
                <w:lang w:val="fr-CH"/>
              </w:rPr>
              <w:t>Propos introductifs [</w:t>
            </w:r>
            <w:r w:rsidR="00D250AD">
              <w:rPr>
                <w:lang w:val="fr-CH"/>
              </w:rPr>
              <w:t>y compris, éventuellement,</w:t>
            </w:r>
            <w:r w:rsidRPr="00D250AD">
              <w:rPr>
                <w:lang w:val="fr-CH"/>
              </w:rPr>
              <w:t xml:space="preserve"> par </w:t>
            </w:r>
            <w:r w:rsidR="00D250AD">
              <w:rPr>
                <w:lang w:val="fr-CH"/>
              </w:rPr>
              <w:t>des représentants de l'</w:t>
            </w:r>
            <w:r w:rsidR="00D250AD" w:rsidRPr="00D250AD">
              <w:rPr>
                <w:lang w:val="fr-CH"/>
              </w:rPr>
              <w:t>U</w:t>
            </w:r>
            <w:r w:rsidR="00D250AD">
              <w:rPr>
                <w:lang w:val="fr-CH"/>
              </w:rPr>
              <w:t>EMOA, ITTC ou autre]</w:t>
            </w:r>
          </w:p>
          <w:p w14:paraId="5CD2FE31" w14:textId="05A4C5C9" w:rsidR="00335D68" w:rsidRDefault="00D63D53" w:rsidP="00BC5C33">
            <w:pPr>
              <w:pStyle w:val="ListParagraph"/>
              <w:numPr>
                <w:ilvl w:val="0"/>
                <w:numId w:val="19"/>
              </w:numPr>
            </w:pPr>
            <w:r>
              <w:t>Illustration du</w:t>
            </w:r>
            <w:r w:rsidR="00335D68">
              <w:t xml:space="preserve"> </w:t>
            </w:r>
            <w:r>
              <w:t>p</w:t>
            </w:r>
            <w:r w:rsidR="00335D68">
              <w:t>rogramme</w:t>
            </w:r>
          </w:p>
          <w:p w14:paraId="256E7BFD" w14:textId="73CB5043" w:rsidR="006603A4" w:rsidRPr="004F4773" w:rsidRDefault="005552C4" w:rsidP="00242A37">
            <w:pPr>
              <w:pStyle w:val="ListParagraph"/>
              <w:numPr>
                <w:ilvl w:val="0"/>
                <w:numId w:val="19"/>
              </w:numPr>
              <w:rPr>
                <w:lang w:val="fr-CH"/>
              </w:rPr>
            </w:pPr>
            <w:r w:rsidRPr="005552C4">
              <w:rPr>
                <w:lang w:val="fr-CH"/>
              </w:rPr>
              <w:t xml:space="preserve">Brève </w:t>
            </w:r>
            <w:proofErr w:type="gramStart"/>
            <w:r w:rsidRPr="005552C4">
              <w:rPr>
                <w:lang w:val="fr-CH"/>
              </w:rPr>
              <w:t>introduction</w:t>
            </w:r>
            <w:r w:rsidR="00643E03">
              <w:rPr>
                <w:lang w:val="fr-CH"/>
              </w:rPr>
              <w:t>:</w:t>
            </w:r>
            <w:proofErr w:type="gramEnd"/>
            <w:r w:rsidR="00643E03">
              <w:rPr>
                <w:lang w:val="fr-CH"/>
              </w:rPr>
              <w:t xml:space="preserve"> la situation actuelle </w:t>
            </w:r>
            <w:r w:rsidR="0030755A">
              <w:rPr>
                <w:lang w:val="fr-CH"/>
              </w:rPr>
              <w:t>à</w:t>
            </w:r>
            <w:r w:rsidR="00643E03">
              <w:rPr>
                <w:lang w:val="fr-CH"/>
              </w:rPr>
              <w:t xml:space="preserve"> l'OMC</w:t>
            </w:r>
          </w:p>
        </w:tc>
      </w:tr>
      <w:tr w:rsidR="00BC5C33" w14:paraId="35DA003B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4CCAA38" w14:textId="6E08B96A" w:rsidR="00BC5C33" w:rsidRPr="004807E9" w:rsidRDefault="006364A9" w:rsidP="00BC5C33">
            <w:pPr>
              <w:jc w:val="center"/>
            </w:pPr>
            <w:r>
              <w:t>2h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4AAB190F" w14:textId="77777777" w:rsidR="00BC5C33" w:rsidRPr="006364A9" w:rsidRDefault="00BC5C33" w:rsidP="00BC5C33">
            <w:pPr>
              <w:rPr>
                <w:lang w:val="fr-CH"/>
              </w:rPr>
            </w:pPr>
          </w:p>
          <w:p w14:paraId="20ED31D0" w14:textId="2E155769" w:rsidR="00BC5C33" w:rsidRPr="003470DD" w:rsidRDefault="00BC5C33" w:rsidP="00BC5C33">
            <w:pPr>
              <w:rPr>
                <w:lang w:val="fr-CH"/>
              </w:rPr>
            </w:pPr>
            <w:r w:rsidRPr="003470DD">
              <w:rPr>
                <w:b/>
                <w:lang w:val="fr-CH"/>
              </w:rPr>
              <w:t xml:space="preserve">Session </w:t>
            </w:r>
            <w:proofErr w:type="gramStart"/>
            <w:r w:rsidR="0084287F">
              <w:rPr>
                <w:b/>
                <w:lang w:val="fr-CH"/>
              </w:rPr>
              <w:t>1</w:t>
            </w:r>
            <w:r w:rsidRPr="003470DD">
              <w:rPr>
                <w:b/>
                <w:lang w:val="fr-CH"/>
              </w:rPr>
              <w:t>:</w:t>
            </w:r>
            <w:proofErr w:type="gramEnd"/>
            <w:r w:rsidRPr="003470DD">
              <w:rPr>
                <w:lang w:val="fr-CH"/>
              </w:rPr>
              <w:t xml:space="preserve"> </w:t>
            </w:r>
            <w:r w:rsidR="000310F9" w:rsidRPr="003470DD">
              <w:rPr>
                <w:b/>
                <w:lang w:val="fr-CH"/>
              </w:rPr>
              <w:t xml:space="preserve">Les </w:t>
            </w:r>
            <w:r w:rsidR="00643E03" w:rsidRPr="003470DD">
              <w:rPr>
                <w:b/>
                <w:lang w:val="fr-CH"/>
              </w:rPr>
              <w:t>négo</w:t>
            </w:r>
            <w:r w:rsidR="003470DD" w:rsidRPr="003470DD">
              <w:rPr>
                <w:b/>
                <w:lang w:val="fr-CH"/>
              </w:rPr>
              <w:t>c</w:t>
            </w:r>
            <w:r w:rsidR="00643E03" w:rsidRPr="003470DD">
              <w:rPr>
                <w:b/>
                <w:lang w:val="fr-CH"/>
              </w:rPr>
              <w:t>iations</w:t>
            </w:r>
            <w:r w:rsidR="004807E9" w:rsidRPr="003470DD">
              <w:rPr>
                <w:b/>
                <w:lang w:val="fr-CH"/>
              </w:rPr>
              <w:t xml:space="preserve"> </w:t>
            </w:r>
            <w:r w:rsidR="00AD4366" w:rsidRPr="003470DD">
              <w:rPr>
                <w:b/>
                <w:lang w:val="fr-CH"/>
              </w:rPr>
              <w:t>à l'OMC</w:t>
            </w:r>
          </w:p>
          <w:p w14:paraId="469CB87A" w14:textId="77777777" w:rsidR="00BC5C33" w:rsidRPr="003470DD" w:rsidRDefault="00BC5C33" w:rsidP="00BC5C33">
            <w:pPr>
              <w:rPr>
                <w:lang w:val="fr-CH"/>
              </w:rPr>
            </w:pPr>
          </w:p>
          <w:p w14:paraId="7864D8F0" w14:textId="2E50B072" w:rsidR="008D6B43" w:rsidRPr="00EA6A4E" w:rsidRDefault="00AD4366" w:rsidP="008D6B43">
            <w:pPr>
              <w:spacing w:after="120"/>
              <w:rPr>
                <w:lang w:val="fr-CH"/>
              </w:rPr>
            </w:pPr>
            <w:r w:rsidRPr="00EA6A4E">
              <w:rPr>
                <w:lang w:val="fr-CH"/>
              </w:rPr>
              <w:t xml:space="preserve">Dans cette </w:t>
            </w:r>
            <w:r w:rsidR="000C39B7" w:rsidRPr="00EA6A4E">
              <w:rPr>
                <w:lang w:val="fr-CH"/>
              </w:rPr>
              <w:t xml:space="preserve">session, </w:t>
            </w:r>
            <w:r w:rsidR="00456199" w:rsidRPr="00EA6A4E">
              <w:rPr>
                <w:lang w:val="fr-CH"/>
              </w:rPr>
              <w:t>on illustrer</w:t>
            </w:r>
            <w:r w:rsidR="00EA6A4E" w:rsidRPr="00EA6A4E">
              <w:rPr>
                <w:lang w:val="fr-CH"/>
              </w:rPr>
              <w:t>a</w:t>
            </w:r>
            <w:r w:rsidR="00456199" w:rsidRPr="00EA6A4E">
              <w:rPr>
                <w:lang w:val="fr-CH"/>
              </w:rPr>
              <w:t xml:space="preserve"> </w:t>
            </w:r>
            <w:r w:rsidRPr="00EA6A4E">
              <w:rPr>
                <w:lang w:val="fr-CH"/>
              </w:rPr>
              <w:t xml:space="preserve">les </w:t>
            </w:r>
            <w:r w:rsidR="000C39B7" w:rsidRPr="00EA6A4E">
              <w:rPr>
                <w:lang w:val="fr-CH"/>
              </w:rPr>
              <w:t xml:space="preserve">discussions </w:t>
            </w:r>
            <w:r w:rsidR="00EA6A4E" w:rsidRPr="00EA6A4E">
              <w:rPr>
                <w:lang w:val="fr-CH"/>
              </w:rPr>
              <w:t>actuellement en cours à l'OMC</w:t>
            </w:r>
            <w:r w:rsidR="00992D41" w:rsidRPr="00EA6A4E">
              <w:rPr>
                <w:lang w:val="fr-CH"/>
              </w:rPr>
              <w:t>, particul</w:t>
            </w:r>
            <w:r w:rsidR="00EA6A4E">
              <w:rPr>
                <w:lang w:val="fr-CH"/>
              </w:rPr>
              <w:t>ière</w:t>
            </w:r>
            <w:r w:rsidR="0030755A">
              <w:rPr>
                <w:lang w:val="fr-CH"/>
              </w:rPr>
              <w:t>ment</w:t>
            </w:r>
            <w:r w:rsidR="00992D41" w:rsidRPr="00EA6A4E">
              <w:rPr>
                <w:lang w:val="fr-CH"/>
              </w:rPr>
              <w:t xml:space="preserve"> </w:t>
            </w:r>
            <w:r w:rsidR="0030755A">
              <w:rPr>
                <w:lang w:val="fr-CH"/>
              </w:rPr>
              <w:t xml:space="preserve">les </w:t>
            </w:r>
            <w:r w:rsidR="003470DD">
              <w:rPr>
                <w:lang w:val="fr-CH"/>
              </w:rPr>
              <w:t>thématiques</w:t>
            </w:r>
            <w:r w:rsidR="00EA6A4E">
              <w:rPr>
                <w:lang w:val="fr-CH"/>
              </w:rPr>
              <w:t xml:space="preserve"> qui pourraient être soumises à l'attention des </w:t>
            </w:r>
            <w:r w:rsidR="008D6B43" w:rsidRPr="00EA6A4E">
              <w:rPr>
                <w:lang w:val="fr-CH"/>
              </w:rPr>
              <w:t>Minist</w:t>
            </w:r>
            <w:r w:rsidR="00EA6A4E">
              <w:rPr>
                <w:lang w:val="fr-CH"/>
              </w:rPr>
              <w:t>res</w:t>
            </w:r>
            <w:r w:rsidR="008D6B43" w:rsidRPr="00EA6A4E">
              <w:rPr>
                <w:lang w:val="fr-CH"/>
              </w:rPr>
              <w:t xml:space="preserve"> </w:t>
            </w:r>
            <w:r w:rsidR="00EA6A4E">
              <w:rPr>
                <w:lang w:val="fr-CH"/>
              </w:rPr>
              <w:t>lors de la CM</w:t>
            </w:r>
            <w:r w:rsidR="008D6B43" w:rsidRPr="00EA6A4E">
              <w:rPr>
                <w:lang w:val="fr-CH"/>
              </w:rPr>
              <w:t>12</w:t>
            </w:r>
            <w:r w:rsidR="003470DD">
              <w:rPr>
                <w:lang w:val="fr-CH"/>
              </w:rPr>
              <w:t xml:space="preserve">, à </w:t>
            </w:r>
            <w:proofErr w:type="gramStart"/>
            <w:r w:rsidR="003470DD">
              <w:rPr>
                <w:lang w:val="fr-CH"/>
              </w:rPr>
              <w:t>savoir:</w:t>
            </w:r>
            <w:proofErr w:type="gramEnd"/>
            <w:r w:rsidR="008D6B43" w:rsidRPr="00EA6A4E">
              <w:rPr>
                <w:lang w:val="fr-CH"/>
              </w:rPr>
              <w:t xml:space="preserve"> </w:t>
            </w:r>
          </w:p>
          <w:p w14:paraId="5F00528B" w14:textId="30B05E36" w:rsidR="003470DD" w:rsidRDefault="00447E68" w:rsidP="0031086A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="003470DD" w:rsidRPr="003470DD">
              <w:rPr>
                <w:lang w:val="fr-CH"/>
              </w:rPr>
              <w:t xml:space="preserve">ubventions à </w:t>
            </w:r>
            <w:r w:rsidR="003470DD">
              <w:rPr>
                <w:lang w:val="fr-CH"/>
              </w:rPr>
              <w:t>la pêche</w:t>
            </w:r>
          </w:p>
          <w:p w14:paraId="3D76A845" w14:textId="1ECC05A4" w:rsidR="00447E68" w:rsidRDefault="00447E68" w:rsidP="0031086A">
            <w:pPr>
              <w:rPr>
                <w:lang w:val="fr-CH"/>
              </w:rPr>
            </w:pPr>
            <w:r w:rsidRPr="00447E68">
              <w:rPr>
                <w:lang w:val="fr-CH"/>
              </w:rPr>
              <w:t>Agric</w:t>
            </w:r>
            <w:r>
              <w:rPr>
                <w:lang w:val="fr-CH"/>
              </w:rPr>
              <w:t>ulture</w:t>
            </w:r>
          </w:p>
          <w:p w14:paraId="1401349B" w14:textId="6A68BD40" w:rsidR="00447E68" w:rsidRDefault="00447E68" w:rsidP="0031086A">
            <w:pPr>
              <w:rPr>
                <w:lang w:val="fr-CH"/>
              </w:rPr>
            </w:pPr>
            <w:r>
              <w:rPr>
                <w:lang w:val="fr-CH"/>
              </w:rPr>
              <w:t>Services</w:t>
            </w:r>
          </w:p>
          <w:p w14:paraId="1200701F" w14:textId="759C5AA8" w:rsidR="004A7CC8" w:rsidRPr="00447E68" w:rsidRDefault="00447E68" w:rsidP="00447E68">
            <w:pPr>
              <w:rPr>
                <w:lang w:val="fr-CH"/>
              </w:rPr>
            </w:pPr>
            <w:r>
              <w:rPr>
                <w:lang w:val="fr-CH"/>
              </w:rPr>
              <w:t>Traitement spécial et différencié</w:t>
            </w:r>
          </w:p>
        </w:tc>
      </w:tr>
      <w:bookmarkEnd w:id="0"/>
      <w:tr w:rsidR="009045ED" w:rsidRPr="00BA3FF5" w14:paraId="615FC712" w14:textId="77777777" w:rsidTr="00B2788D">
        <w:trPr>
          <w:trHeight w:val="423"/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07479D07" w14:textId="04853AC0" w:rsidR="009045ED" w:rsidRPr="004807E9" w:rsidRDefault="00B2788D" w:rsidP="00B2788D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Journée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2928" w:rsidRPr="00E558C0" w14:paraId="78E86F7F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264D9DA" w14:textId="1CCFA22E" w:rsidR="00582928" w:rsidRPr="004807E9" w:rsidRDefault="006364A9" w:rsidP="00F558F6">
            <w:pPr>
              <w:jc w:val="center"/>
            </w:pPr>
            <w:r>
              <w:t>2h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620651A4" w14:textId="77777777" w:rsidR="00582928" w:rsidRPr="006364A9" w:rsidRDefault="00582928" w:rsidP="00F558F6">
            <w:pPr>
              <w:rPr>
                <w:lang w:val="fr-CH"/>
              </w:rPr>
            </w:pPr>
          </w:p>
          <w:p w14:paraId="2776EB6D" w14:textId="07289957" w:rsidR="00582928" w:rsidRPr="006364A9" w:rsidRDefault="00582928" w:rsidP="00F558F6">
            <w:pPr>
              <w:rPr>
                <w:lang w:val="fr-CH"/>
              </w:rPr>
            </w:pPr>
            <w:r w:rsidRPr="006364A9">
              <w:rPr>
                <w:b/>
                <w:lang w:val="fr-CH"/>
              </w:rPr>
              <w:t xml:space="preserve">Session </w:t>
            </w:r>
            <w:proofErr w:type="gramStart"/>
            <w:r w:rsidR="0084287F" w:rsidRPr="006364A9">
              <w:rPr>
                <w:b/>
                <w:lang w:val="fr-CH"/>
              </w:rPr>
              <w:t>2</w:t>
            </w:r>
            <w:r w:rsidRPr="006364A9">
              <w:rPr>
                <w:b/>
                <w:lang w:val="fr-CH"/>
              </w:rPr>
              <w:t>:</w:t>
            </w:r>
            <w:proofErr w:type="gramEnd"/>
            <w:r w:rsidRPr="006364A9">
              <w:rPr>
                <w:lang w:val="fr-CH"/>
              </w:rPr>
              <w:t xml:space="preserve"> </w:t>
            </w:r>
            <w:r w:rsidR="00474D38" w:rsidRPr="006364A9">
              <w:rPr>
                <w:b/>
                <w:lang w:val="fr-CH"/>
              </w:rPr>
              <w:t xml:space="preserve">Les </w:t>
            </w:r>
            <w:r w:rsidR="004766FD" w:rsidRPr="006364A9">
              <w:rPr>
                <w:b/>
                <w:lang w:val="fr-CH"/>
              </w:rPr>
              <w:t>I</w:t>
            </w:r>
            <w:r w:rsidR="00474D38" w:rsidRPr="006364A9">
              <w:rPr>
                <w:b/>
                <w:lang w:val="fr-CH"/>
              </w:rPr>
              <w:t>nitiatives conjointes</w:t>
            </w:r>
          </w:p>
          <w:p w14:paraId="18328F30" w14:textId="77777777" w:rsidR="00582928" w:rsidRPr="006364A9" w:rsidRDefault="00582928" w:rsidP="00F558F6">
            <w:pPr>
              <w:rPr>
                <w:lang w:val="fr-CH"/>
              </w:rPr>
            </w:pPr>
          </w:p>
          <w:p w14:paraId="32D57888" w14:textId="46457B1F" w:rsidR="008D6B43" w:rsidRPr="004766FD" w:rsidRDefault="00474D38" w:rsidP="008D6B43">
            <w:pPr>
              <w:spacing w:after="120"/>
              <w:rPr>
                <w:lang w:val="fr-CH"/>
              </w:rPr>
            </w:pPr>
            <w:r w:rsidRPr="004766FD">
              <w:rPr>
                <w:lang w:val="fr-CH"/>
              </w:rPr>
              <w:t xml:space="preserve">Dans cette </w:t>
            </w:r>
            <w:r w:rsidR="008D6B43" w:rsidRPr="004766FD">
              <w:rPr>
                <w:lang w:val="fr-CH"/>
              </w:rPr>
              <w:t xml:space="preserve">session </w:t>
            </w:r>
            <w:r w:rsidR="00433E93" w:rsidRPr="004766FD">
              <w:rPr>
                <w:lang w:val="fr-CH"/>
              </w:rPr>
              <w:t>seront traitées les "</w:t>
            </w:r>
            <w:r w:rsidR="004766FD">
              <w:rPr>
                <w:lang w:val="fr-CH"/>
              </w:rPr>
              <w:t>I</w:t>
            </w:r>
            <w:r w:rsidR="00433E93" w:rsidRPr="004766FD">
              <w:rPr>
                <w:lang w:val="fr-CH"/>
              </w:rPr>
              <w:t>nitiatives conjointes" lanc</w:t>
            </w:r>
            <w:r w:rsidR="00B72F3B" w:rsidRPr="004766FD">
              <w:rPr>
                <w:lang w:val="fr-CH"/>
              </w:rPr>
              <w:t>ée</w:t>
            </w:r>
            <w:r w:rsidR="00433E93" w:rsidRPr="004766FD">
              <w:rPr>
                <w:lang w:val="fr-CH"/>
              </w:rPr>
              <w:t xml:space="preserve">s à l'OMC </w:t>
            </w:r>
            <w:r w:rsidR="00B72F3B" w:rsidRPr="004766FD">
              <w:rPr>
                <w:lang w:val="fr-CH"/>
              </w:rPr>
              <w:t>à partir de la CM11 (Buenos Aires, 2017) par des groups de Membres</w:t>
            </w:r>
            <w:r w:rsidR="008D6B43" w:rsidRPr="004766FD">
              <w:rPr>
                <w:lang w:val="fr-CH"/>
              </w:rPr>
              <w:t>.</w:t>
            </w:r>
            <w:r w:rsidR="004766FD" w:rsidRPr="004766FD">
              <w:rPr>
                <w:lang w:val="fr-CH"/>
              </w:rPr>
              <w:t xml:space="preserve"> </w:t>
            </w:r>
            <w:r w:rsidR="004766FD">
              <w:rPr>
                <w:lang w:val="fr-CH"/>
              </w:rPr>
              <w:t>En particulier seront couvertes</w:t>
            </w:r>
            <w:r w:rsidR="008D6B43" w:rsidRPr="004766FD">
              <w:rPr>
                <w:lang w:val="fr-CH"/>
              </w:rPr>
              <w:t xml:space="preserve"> </w:t>
            </w:r>
            <w:r w:rsidR="004766FD">
              <w:rPr>
                <w:lang w:val="fr-CH"/>
              </w:rPr>
              <w:t xml:space="preserve">les Initiatives conjointes </w:t>
            </w:r>
            <w:proofErr w:type="gramStart"/>
            <w:r w:rsidR="004766FD">
              <w:rPr>
                <w:lang w:val="fr-CH"/>
              </w:rPr>
              <w:t>suivantes:</w:t>
            </w:r>
            <w:proofErr w:type="gramEnd"/>
          </w:p>
          <w:p w14:paraId="47F481E0" w14:textId="5EBDF8E1" w:rsidR="00F750F1" w:rsidRPr="00F750F1" w:rsidRDefault="00F750F1" w:rsidP="00F750F1">
            <w:pPr>
              <w:rPr>
                <w:lang w:val="fr-CH"/>
              </w:rPr>
            </w:pPr>
            <w:r w:rsidRPr="00F750F1">
              <w:rPr>
                <w:lang w:val="fr-CH"/>
              </w:rPr>
              <w:t>Commerce é</w:t>
            </w:r>
            <w:r>
              <w:rPr>
                <w:lang w:val="fr-CH"/>
              </w:rPr>
              <w:t>lectronique</w:t>
            </w:r>
          </w:p>
          <w:p w14:paraId="0A273EA0" w14:textId="6A12402D" w:rsidR="00F750F1" w:rsidRPr="00F750F1" w:rsidRDefault="00F750F1" w:rsidP="00F750F1">
            <w:pPr>
              <w:rPr>
                <w:lang w:val="fr-CH"/>
              </w:rPr>
            </w:pPr>
            <w:r w:rsidRPr="00F750F1">
              <w:rPr>
                <w:lang w:val="fr-CH"/>
              </w:rPr>
              <w:t>Facilitation de l’investissement pour le développement</w:t>
            </w:r>
          </w:p>
          <w:p w14:paraId="1E9A4835" w14:textId="5D814226" w:rsidR="00F750F1" w:rsidRPr="0030755A" w:rsidRDefault="00F750F1" w:rsidP="00F750F1">
            <w:pPr>
              <w:rPr>
                <w:lang w:val="fr-CH"/>
              </w:rPr>
            </w:pPr>
            <w:r w:rsidRPr="0030755A">
              <w:rPr>
                <w:lang w:val="fr-CH"/>
              </w:rPr>
              <w:t>Petite entreprise/MPME</w:t>
            </w:r>
          </w:p>
          <w:p w14:paraId="1FD0E90E" w14:textId="02B7950D" w:rsidR="00F750F1" w:rsidRDefault="00F750F1" w:rsidP="00F750F1">
            <w:pPr>
              <w:rPr>
                <w:lang w:val="fr-CH"/>
              </w:rPr>
            </w:pPr>
            <w:r w:rsidRPr="00F750F1">
              <w:rPr>
                <w:lang w:val="fr-CH"/>
              </w:rPr>
              <w:t>Réglementation intérieure dans le domaine des services</w:t>
            </w:r>
          </w:p>
          <w:p w14:paraId="57DDC001" w14:textId="605224FA" w:rsidR="00B2788D" w:rsidRDefault="00B2788D" w:rsidP="00F750F1">
            <w:pPr>
              <w:rPr>
                <w:lang w:val="fr-CH"/>
              </w:rPr>
            </w:pPr>
            <w:r>
              <w:rPr>
                <w:lang w:val="fr-CH"/>
              </w:rPr>
              <w:t>Commerce et égalité des genres</w:t>
            </w:r>
          </w:p>
          <w:p w14:paraId="013211FB" w14:textId="23FD5F87" w:rsidR="004A7CC8" w:rsidRPr="00F750F1" w:rsidRDefault="00B2788D" w:rsidP="00F750F1">
            <w:pPr>
              <w:rPr>
                <w:lang w:val="fr-CH"/>
              </w:rPr>
            </w:pPr>
            <w:r>
              <w:rPr>
                <w:lang w:val="fr-CH"/>
              </w:rPr>
              <w:t>Commerce et environnement</w:t>
            </w:r>
            <w:r w:rsidR="00F750F1" w:rsidRPr="00F750F1">
              <w:rPr>
                <w:lang w:val="fr-CH"/>
              </w:rPr>
              <w:t xml:space="preserve"> </w:t>
            </w:r>
          </w:p>
        </w:tc>
      </w:tr>
      <w:tr w:rsidR="006603A4" w14:paraId="65950D88" w14:textId="77777777" w:rsidTr="004F4773">
        <w:trPr>
          <w:trHeight w:val="461"/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0D3FD9D9" w14:textId="1D022C78" w:rsidR="006603A4" w:rsidRPr="00563B44" w:rsidRDefault="00B2788D" w:rsidP="004F4773">
            <w:pPr>
              <w:keepNext/>
              <w:spacing w:before="120"/>
              <w:jc w:val="center"/>
              <w:rPr>
                <w:b/>
              </w:rPr>
            </w:pPr>
            <w:bookmarkStart w:id="1" w:name="_Hlk20756207"/>
            <w:proofErr w:type="spellStart"/>
            <w:r>
              <w:rPr>
                <w:b/>
              </w:rPr>
              <w:t>Journée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582928" w:rsidRPr="001A0976" w14:paraId="6546DBE0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23500FC" w14:textId="760CE057" w:rsidR="00582928" w:rsidRDefault="006364A9" w:rsidP="00582928">
            <w:pPr>
              <w:keepNext/>
              <w:jc w:val="center"/>
            </w:pPr>
            <w:r>
              <w:t>2h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66739092" w14:textId="77777777" w:rsidR="00582928" w:rsidRPr="00BD17B0" w:rsidRDefault="00582928" w:rsidP="00582928">
            <w:pPr>
              <w:rPr>
                <w:lang w:val="fr-CH"/>
              </w:rPr>
            </w:pPr>
          </w:p>
          <w:p w14:paraId="7A7E26C0" w14:textId="6A13F6D8" w:rsidR="00582928" w:rsidRPr="00BD17B0" w:rsidRDefault="00582928" w:rsidP="00582928">
            <w:pPr>
              <w:rPr>
                <w:lang w:val="fr-CH"/>
              </w:rPr>
            </w:pPr>
            <w:r w:rsidRPr="00BD17B0">
              <w:rPr>
                <w:b/>
                <w:lang w:val="fr-CH"/>
              </w:rPr>
              <w:t xml:space="preserve">Session </w:t>
            </w:r>
            <w:proofErr w:type="gramStart"/>
            <w:r w:rsidR="0084287F" w:rsidRPr="00BD17B0">
              <w:rPr>
                <w:b/>
                <w:lang w:val="fr-CH"/>
              </w:rPr>
              <w:t>3</w:t>
            </w:r>
            <w:r w:rsidRPr="00BD17B0">
              <w:rPr>
                <w:b/>
                <w:lang w:val="fr-CH"/>
              </w:rPr>
              <w:t>:</w:t>
            </w:r>
            <w:proofErr w:type="gramEnd"/>
            <w:r w:rsidRPr="00BD17B0">
              <w:rPr>
                <w:lang w:val="fr-CH"/>
              </w:rPr>
              <w:t xml:space="preserve"> </w:t>
            </w:r>
            <w:r w:rsidR="00BD17B0" w:rsidRPr="00BD17B0">
              <w:rPr>
                <w:b/>
                <w:bCs/>
                <w:lang w:val="fr-CH"/>
              </w:rPr>
              <w:t>Les propositions visant à reformer l'OMC</w:t>
            </w:r>
          </w:p>
          <w:p w14:paraId="54A17B4D" w14:textId="77777777" w:rsidR="00582928" w:rsidRPr="00BD17B0" w:rsidRDefault="00582928" w:rsidP="00582928">
            <w:pPr>
              <w:rPr>
                <w:lang w:val="fr-CH"/>
              </w:rPr>
            </w:pPr>
          </w:p>
          <w:p w14:paraId="15649354" w14:textId="5EA8A2DC" w:rsidR="00610AD2" w:rsidRDefault="00BD17B0" w:rsidP="00C10840">
            <w:pPr>
              <w:rPr>
                <w:lang w:val="fr-CH"/>
              </w:rPr>
            </w:pPr>
            <w:r w:rsidRPr="001A0976">
              <w:rPr>
                <w:lang w:val="fr-CH"/>
              </w:rPr>
              <w:t>Cette</w:t>
            </w:r>
            <w:r w:rsidR="00E444FB" w:rsidRPr="001A0976">
              <w:rPr>
                <w:lang w:val="fr-CH"/>
              </w:rPr>
              <w:t xml:space="preserve"> session </w:t>
            </w:r>
            <w:r w:rsidRPr="001A0976">
              <w:rPr>
                <w:lang w:val="fr-CH"/>
              </w:rPr>
              <w:t xml:space="preserve">traitera les </w:t>
            </w:r>
            <w:r w:rsidR="00E444FB" w:rsidRPr="001A0976">
              <w:rPr>
                <w:lang w:val="fr-CH"/>
              </w:rPr>
              <w:t>discussions</w:t>
            </w:r>
            <w:r w:rsidR="005C35E5" w:rsidRPr="001A0976">
              <w:rPr>
                <w:lang w:val="fr-CH"/>
              </w:rPr>
              <w:t xml:space="preserve"> </w:t>
            </w:r>
            <w:r w:rsidR="001A0976" w:rsidRPr="001A0976">
              <w:rPr>
                <w:lang w:val="fr-CH"/>
              </w:rPr>
              <w:t>actuellement en</w:t>
            </w:r>
            <w:r w:rsidR="004F4773">
              <w:rPr>
                <w:lang w:val="fr-CH"/>
              </w:rPr>
              <w:t xml:space="preserve"> </w:t>
            </w:r>
            <w:r w:rsidR="001A0976" w:rsidRPr="001A0976">
              <w:rPr>
                <w:lang w:val="fr-CH"/>
              </w:rPr>
              <w:t>cours, visant à animer le débat su</w:t>
            </w:r>
            <w:r w:rsidR="001A0976">
              <w:rPr>
                <w:lang w:val="fr-CH"/>
              </w:rPr>
              <w:t xml:space="preserve">r les </w:t>
            </w:r>
            <w:r w:rsidR="00610AD2">
              <w:rPr>
                <w:lang w:val="fr-CH"/>
              </w:rPr>
              <w:t>modifications que les Membres pourraient apporter aux structures existantes de l'OMC, en particulier</w:t>
            </w:r>
            <w:r w:rsidR="00F31C7B">
              <w:rPr>
                <w:lang w:val="fr-CH"/>
              </w:rPr>
              <w:t xml:space="preserve"> seront illustrées les propositions relatives </w:t>
            </w:r>
            <w:proofErr w:type="spellStart"/>
            <w:proofErr w:type="gramStart"/>
            <w:r w:rsidR="00F31C7B">
              <w:rPr>
                <w:lang w:val="fr-CH"/>
              </w:rPr>
              <w:t>à</w:t>
            </w:r>
            <w:proofErr w:type="spellEnd"/>
            <w:r w:rsidR="00F31C7B">
              <w:rPr>
                <w:lang w:val="fr-CH"/>
              </w:rPr>
              <w:t>:</w:t>
            </w:r>
            <w:proofErr w:type="gramEnd"/>
          </w:p>
          <w:p w14:paraId="15C89AF3" w14:textId="4BED0E7B" w:rsidR="00F31C7B" w:rsidRDefault="00F31C7B" w:rsidP="00C10840">
            <w:pPr>
              <w:rPr>
                <w:lang w:val="fr-CH"/>
              </w:rPr>
            </w:pPr>
          </w:p>
          <w:p w14:paraId="605152FB" w14:textId="308FEB6C" w:rsidR="00F31C7B" w:rsidRDefault="00F31C7B" w:rsidP="00C10840">
            <w:pPr>
              <w:rPr>
                <w:lang w:val="fr-CH"/>
              </w:rPr>
            </w:pPr>
            <w:r>
              <w:rPr>
                <w:lang w:val="fr-CH"/>
              </w:rPr>
              <w:t xml:space="preserve">La fonction </w:t>
            </w:r>
            <w:r w:rsidR="00901502">
              <w:rPr>
                <w:lang w:val="fr-CH"/>
              </w:rPr>
              <w:t>délibérative</w:t>
            </w:r>
            <w:r>
              <w:rPr>
                <w:lang w:val="fr-CH"/>
              </w:rPr>
              <w:t xml:space="preserve"> de l'OMC</w:t>
            </w:r>
          </w:p>
          <w:p w14:paraId="41F66D1A" w14:textId="59A66099" w:rsidR="00F31C7B" w:rsidRDefault="00F31C7B" w:rsidP="00C10840">
            <w:pPr>
              <w:rPr>
                <w:lang w:val="fr-CH"/>
              </w:rPr>
            </w:pPr>
            <w:r>
              <w:rPr>
                <w:lang w:val="fr-CH"/>
              </w:rPr>
              <w:t>L</w:t>
            </w:r>
            <w:r w:rsidR="008A4C3D">
              <w:rPr>
                <w:lang w:val="fr-CH"/>
              </w:rPr>
              <w:t xml:space="preserve">e </w:t>
            </w:r>
            <w:r w:rsidR="00901502">
              <w:rPr>
                <w:lang w:val="fr-CH"/>
              </w:rPr>
              <w:t>fonctionnement de</w:t>
            </w:r>
            <w:r>
              <w:rPr>
                <w:lang w:val="fr-CH"/>
              </w:rPr>
              <w:t xml:space="preserve"> l'Organe d'Appel</w:t>
            </w:r>
          </w:p>
          <w:p w14:paraId="628DBE27" w14:textId="3564586F" w:rsidR="00901502" w:rsidRDefault="00901502" w:rsidP="00C10840">
            <w:pPr>
              <w:rPr>
                <w:lang w:val="fr-CH"/>
              </w:rPr>
            </w:pPr>
            <w:r>
              <w:rPr>
                <w:lang w:val="fr-CH"/>
              </w:rPr>
              <w:t>La transparence</w:t>
            </w:r>
          </w:p>
          <w:p w14:paraId="15291CE9" w14:textId="7927DCD9" w:rsidR="009E0C96" w:rsidRPr="001A0976" w:rsidRDefault="00DD117A" w:rsidP="0084287F">
            <w:pPr>
              <w:rPr>
                <w:lang w:val="fr-CH"/>
              </w:rPr>
            </w:pPr>
            <w:r>
              <w:rPr>
                <w:lang w:val="fr-CH"/>
              </w:rPr>
              <w:t>Le développement</w:t>
            </w:r>
          </w:p>
        </w:tc>
      </w:tr>
      <w:tr w:rsidR="00582928" w:rsidRPr="00E558C0" w14:paraId="53C4CEE5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AAA643" w14:textId="1E1B0061" w:rsidR="00582928" w:rsidRDefault="006364A9" w:rsidP="00582928">
            <w:pPr>
              <w:keepNext/>
              <w:jc w:val="center"/>
            </w:pPr>
            <w:r>
              <w:t>30'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28B92D76" w14:textId="77777777" w:rsidR="00582928" w:rsidRPr="0030755A" w:rsidRDefault="00582928" w:rsidP="00582928">
            <w:pPr>
              <w:rPr>
                <w:lang w:val="fr-CH"/>
              </w:rPr>
            </w:pPr>
          </w:p>
          <w:p w14:paraId="6311C887" w14:textId="0D3A70F8" w:rsidR="00582928" w:rsidRPr="0030755A" w:rsidRDefault="00582928" w:rsidP="00582928">
            <w:pPr>
              <w:rPr>
                <w:lang w:val="fr-CH"/>
              </w:rPr>
            </w:pPr>
            <w:r w:rsidRPr="0030755A">
              <w:rPr>
                <w:b/>
                <w:lang w:val="fr-CH"/>
              </w:rPr>
              <w:t xml:space="preserve">Session </w:t>
            </w:r>
            <w:r w:rsidR="00DD117A" w:rsidRPr="0030755A">
              <w:rPr>
                <w:b/>
                <w:lang w:val="fr-CH"/>
              </w:rPr>
              <w:t>conclusive</w:t>
            </w:r>
          </w:p>
          <w:p w14:paraId="3C46D9E1" w14:textId="77777777" w:rsidR="00582928" w:rsidRPr="0030755A" w:rsidRDefault="00582928" w:rsidP="00582928">
            <w:pPr>
              <w:rPr>
                <w:lang w:val="fr-CH"/>
              </w:rPr>
            </w:pPr>
          </w:p>
          <w:p w14:paraId="0E790516" w14:textId="74E2EAE7" w:rsidR="00582928" w:rsidRPr="00D52A82" w:rsidRDefault="00C16043" w:rsidP="00C16043">
            <w:pPr>
              <w:rPr>
                <w:lang w:val="fr-CH"/>
              </w:rPr>
            </w:pPr>
            <w:r w:rsidRPr="00D3691C">
              <w:rPr>
                <w:lang w:val="fr-CH"/>
              </w:rPr>
              <w:t>Cette</w:t>
            </w:r>
            <w:r w:rsidR="005C35E5" w:rsidRPr="00D3691C">
              <w:rPr>
                <w:lang w:val="fr-CH"/>
              </w:rPr>
              <w:t xml:space="preserve"> session </w:t>
            </w:r>
            <w:r w:rsidRPr="00D3691C">
              <w:rPr>
                <w:lang w:val="fr-CH"/>
              </w:rPr>
              <w:t>offrira aux Participants une occasion ultérieure pour poser des questions</w:t>
            </w:r>
            <w:r w:rsidR="00D3691C" w:rsidRPr="00D3691C">
              <w:rPr>
                <w:lang w:val="fr-CH"/>
              </w:rPr>
              <w:t xml:space="preserve"> et formuler des commentaires. </w:t>
            </w:r>
            <w:r w:rsidR="00D3691C" w:rsidRPr="00D52A82">
              <w:rPr>
                <w:lang w:val="fr-CH"/>
              </w:rPr>
              <w:t>Elle pourra aussi être utilisée par les Organisateurs</w:t>
            </w:r>
            <w:r w:rsidR="00D52A82" w:rsidRPr="00D52A82">
              <w:rPr>
                <w:lang w:val="fr-CH"/>
              </w:rPr>
              <w:t xml:space="preserve"> e</w:t>
            </w:r>
            <w:r w:rsidR="00D52A82">
              <w:rPr>
                <w:lang w:val="fr-CH"/>
              </w:rPr>
              <w:t xml:space="preserve">t aux animateurs </w:t>
            </w:r>
            <w:r w:rsidR="00D52A82" w:rsidRPr="00D52A82">
              <w:rPr>
                <w:lang w:val="fr-CH"/>
              </w:rPr>
              <w:t>pour adresser leurs messages de conclusion</w:t>
            </w:r>
            <w:r w:rsidR="006E74D0" w:rsidRPr="00D52A82">
              <w:rPr>
                <w:lang w:val="fr-CH"/>
              </w:rPr>
              <w:t>.</w:t>
            </w:r>
          </w:p>
        </w:tc>
      </w:tr>
    </w:tbl>
    <w:p w14:paraId="2C909E82" w14:textId="431DAF14" w:rsidR="004A7CC8" w:rsidRPr="004F4773" w:rsidRDefault="004A7CC8">
      <w:pPr>
        <w:rPr>
          <w:lang w:val="fr-CH"/>
        </w:rPr>
      </w:pPr>
      <w:bookmarkStart w:id="2" w:name="_Hlk20749143"/>
      <w:bookmarkEnd w:id="1"/>
      <w:bookmarkEnd w:id="2"/>
    </w:p>
    <w:sectPr w:rsidR="004A7CC8" w:rsidRPr="004F4773" w:rsidSect="004F4773">
      <w:headerReference w:type="default" r:id="rId8"/>
      <w:footerReference w:type="default" r:id="rId9"/>
      <w:pgSz w:w="11906" w:h="16838" w:code="9"/>
      <w:pgMar w:top="1260" w:right="1440" w:bottom="1134" w:left="1440" w:header="2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8390A" w14:textId="77777777" w:rsidR="00EF4D9F" w:rsidRDefault="00EF4D9F" w:rsidP="00ED54E0">
      <w:r>
        <w:separator/>
      </w:r>
    </w:p>
  </w:endnote>
  <w:endnote w:type="continuationSeparator" w:id="0">
    <w:p w14:paraId="7E2509A0" w14:textId="77777777" w:rsidR="00EF4D9F" w:rsidRDefault="00EF4D9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870767"/>
      <w:docPartObj>
        <w:docPartGallery w:val="Page Numbers (Bottom of Page)"/>
        <w:docPartUnique/>
      </w:docPartObj>
    </w:sdtPr>
    <w:sdtEndPr/>
    <w:sdtContent>
      <w:sdt>
        <w:sdtPr>
          <w:id w:val="1160731851"/>
          <w:docPartObj>
            <w:docPartGallery w:val="Page Numbers (Top of Page)"/>
            <w:docPartUnique/>
          </w:docPartObj>
        </w:sdtPr>
        <w:sdtEndPr/>
        <w:sdtContent>
          <w:p w14:paraId="5D55EB87" w14:textId="77777777" w:rsidR="0045096C" w:rsidRDefault="004509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99380" w14:textId="77777777" w:rsidR="0045096C" w:rsidRDefault="0045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2D5" w14:textId="77777777" w:rsidR="00EF4D9F" w:rsidRDefault="00EF4D9F" w:rsidP="00ED54E0">
      <w:r>
        <w:separator/>
      </w:r>
    </w:p>
  </w:footnote>
  <w:footnote w:type="continuationSeparator" w:id="0">
    <w:p w14:paraId="645A30FA" w14:textId="77777777" w:rsidR="00EF4D9F" w:rsidRDefault="00EF4D9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6C69" w14:textId="77777777" w:rsidR="00EC1D79" w:rsidRDefault="00EC1D79" w:rsidP="00EC1D79">
    <w:pPr>
      <w:pStyle w:val="Header"/>
      <w:tabs>
        <w:tab w:val="left" w:pos="7200"/>
      </w:tabs>
    </w:pPr>
  </w:p>
  <w:p w14:paraId="34AEE4CB" w14:textId="451441F9" w:rsidR="00644DC2" w:rsidRDefault="00EC1D79" w:rsidP="00EC1D79">
    <w:pPr>
      <w:pStyle w:val="Header"/>
      <w:tabs>
        <w:tab w:val="left" w:pos="7200"/>
      </w:tabs>
      <w:jc w:val="center"/>
    </w:pPr>
    <w:r>
      <w:rPr>
        <w:noProof/>
      </w:rPr>
      <w:drawing>
        <wp:inline distT="0" distB="0" distL="0" distR="0" wp14:anchorId="18E744A9" wp14:editId="7B41BDDD">
          <wp:extent cx="2038350" cy="5334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C01E9" w14:textId="77777777" w:rsidR="00EC1D79" w:rsidRDefault="00EC1D79" w:rsidP="00EC1D79">
    <w:pPr>
      <w:pStyle w:val="Header"/>
      <w:tabs>
        <w:tab w:val="left" w:pos="7200"/>
      </w:tabs>
      <w:jc w:val="center"/>
    </w:pPr>
  </w:p>
  <w:p w14:paraId="7A320A07" w14:textId="77777777" w:rsidR="00EC1D79" w:rsidRDefault="00EC1D79" w:rsidP="00EC1D79">
    <w:pPr>
      <w:pStyle w:val="Header"/>
      <w:tabs>
        <w:tab w:val="left" w:pos="72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30605"/>
    <w:multiLevelType w:val="multilevel"/>
    <w:tmpl w:val="55E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80E0E"/>
    <w:multiLevelType w:val="hybridMultilevel"/>
    <w:tmpl w:val="B88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E1C00"/>
    <w:multiLevelType w:val="hybridMultilevel"/>
    <w:tmpl w:val="A02AF836"/>
    <w:lvl w:ilvl="0" w:tplc="739EE1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57425"/>
    <w:multiLevelType w:val="hybridMultilevel"/>
    <w:tmpl w:val="17BA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4771A"/>
    <w:multiLevelType w:val="multilevel"/>
    <w:tmpl w:val="FD8C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D57F1"/>
    <w:multiLevelType w:val="hybridMultilevel"/>
    <w:tmpl w:val="0786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A4"/>
    <w:rsid w:val="000106E0"/>
    <w:rsid w:val="000111BB"/>
    <w:rsid w:val="00022C0F"/>
    <w:rsid w:val="000262D7"/>
    <w:rsid w:val="000272F6"/>
    <w:rsid w:val="000310F9"/>
    <w:rsid w:val="00037AC4"/>
    <w:rsid w:val="000423BF"/>
    <w:rsid w:val="00052A04"/>
    <w:rsid w:val="00055F4D"/>
    <w:rsid w:val="000A1B09"/>
    <w:rsid w:val="000A4945"/>
    <w:rsid w:val="000B31E1"/>
    <w:rsid w:val="000C39B7"/>
    <w:rsid w:val="000D1CC4"/>
    <w:rsid w:val="000E2BF0"/>
    <w:rsid w:val="001072C9"/>
    <w:rsid w:val="00110E47"/>
    <w:rsid w:val="0011235C"/>
    <w:rsid w:val="0011356B"/>
    <w:rsid w:val="0013337F"/>
    <w:rsid w:val="001527E1"/>
    <w:rsid w:val="00174486"/>
    <w:rsid w:val="00182B84"/>
    <w:rsid w:val="001946F2"/>
    <w:rsid w:val="001A0976"/>
    <w:rsid w:val="001B08A3"/>
    <w:rsid w:val="001D0F5C"/>
    <w:rsid w:val="001E291F"/>
    <w:rsid w:val="001F695D"/>
    <w:rsid w:val="001F7D95"/>
    <w:rsid w:val="00212834"/>
    <w:rsid w:val="00226D88"/>
    <w:rsid w:val="00233408"/>
    <w:rsid w:val="00237417"/>
    <w:rsid w:val="0027067B"/>
    <w:rsid w:val="0028162A"/>
    <w:rsid w:val="002832C7"/>
    <w:rsid w:val="002944C5"/>
    <w:rsid w:val="002A15FB"/>
    <w:rsid w:val="002A6940"/>
    <w:rsid w:val="002A6E70"/>
    <w:rsid w:val="002B72B6"/>
    <w:rsid w:val="002C0FBB"/>
    <w:rsid w:val="002E249B"/>
    <w:rsid w:val="002F5BA3"/>
    <w:rsid w:val="003012F3"/>
    <w:rsid w:val="00304096"/>
    <w:rsid w:val="00304385"/>
    <w:rsid w:val="0030755A"/>
    <w:rsid w:val="0031086A"/>
    <w:rsid w:val="00311BE2"/>
    <w:rsid w:val="00313188"/>
    <w:rsid w:val="00320249"/>
    <w:rsid w:val="00335359"/>
    <w:rsid w:val="00335D68"/>
    <w:rsid w:val="00336480"/>
    <w:rsid w:val="003470DD"/>
    <w:rsid w:val="003572B4"/>
    <w:rsid w:val="003616BF"/>
    <w:rsid w:val="00362C41"/>
    <w:rsid w:val="00371F2B"/>
    <w:rsid w:val="00383F10"/>
    <w:rsid w:val="003C0717"/>
    <w:rsid w:val="003D754A"/>
    <w:rsid w:val="0040309A"/>
    <w:rsid w:val="00414376"/>
    <w:rsid w:val="0043388B"/>
    <w:rsid w:val="00433E93"/>
    <w:rsid w:val="00447E68"/>
    <w:rsid w:val="004504C0"/>
    <w:rsid w:val="0045096C"/>
    <w:rsid w:val="004551EC"/>
    <w:rsid w:val="00456199"/>
    <w:rsid w:val="00467032"/>
    <w:rsid w:val="0046754A"/>
    <w:rsid w:val="00474D38"/>
    <w:rsid w:val="00476074"/>
    <w:rsid w:val="004766FD"/>
    <w:rsid w:val="004807E9"/>
    <w:rsid w:val="00493DCC"/>
    <w:rsid w:val="004A2D89"/>
    <w:rsid w:val="004A31FF"/>
    <w:rsid w:val="004A7CC8"/>
    <w:rsid w:val="004F203A"/>
    <w:rsid w:val="004F4773"/>
    <w:rsid w:val="00512FF5"/>
    <w:rsid w:val="005336B8"/>
    <w:rsid w:val="005552C4"/>
    <w:rsid w:val="00563B44"/>
    <w:rsid w:val="00582928"/>
    <w:rsid w:val="00585D14"/>
    <w:rsid w:val="005B04B9"/>
    <w:rsid w:val="005B68C7"/>
    <w:rsid w:val="005B7054"/>
    <w:rsid w:val="005C35E5"/>
    <w:rsid w:val="005D0152"/>
    <w:rsid w:val="005D5981"/>
    <w:rsid w:val="005E0DD1"/>
    <w:rsid w:val="005E44B0"/>
    <w:rsid w:val="005F0A08"/>
    <w:rsid w:val="005F30CB"/>
    <w:rsid w:val="005F32D0"/>
    <w:rsid w:val="006015B5"/>
    <w:rsid w:val="00610AD2"/>
    <w:rsid w:val="00612644"/>
    <w:rsid w:val="006364A9"/>
    <w:rsid w:val="00643E03"/>
    <w:rsid w:val="00644DC2"/>
    <w:rsid w:val="006603A4"/>
    <w:rsid w:val="00674CCD"/>
    <w:rsid w:val="006A18DC"/>
    <w:rsid w:val="006A5E5A"/>
    <w:rsid w:val="006C5799"/>
    <w:rsid w:val="006D6742"/>
    <w:rsid w:val="006E3654"/>
    <w:rsid w:val="006E74D0"/>
    <w:rsid w:val="006E7991"/>
    <w:rsid w:val="006F5826"/>
    <w:rsid w:val="00700181"/>
    <w:rsid w:val="007141CF"/>
    <w:rsid w:val="00723456"/>
    <w:rsid w:val="007422FC"/>
    <w:rsid w:val="00745146"/>
    <w:rsid w:val="0074635B"/>
    <w:rsid w:val="007577E3"/>
    <w:rsid w:val="00760DB3"/>
    <w:rsid w:val="00767204"/>
    <w:rsid w:val="00767D21"/>
    <w:rsid w:val="00772748"/>
    <w:rsid w:val="007A0A36"/>
    <w:rsid w:val="007A4954"/>
    <w:rsid w:val="007A4CDA"/>
    <w:rsid w:val="007A4F6E"/>
    <w:rsid w:val="007C79F0"/>
    <w:rsid w:val="007D668B"/>
    <w:rsid w:val="007E6507"/>
    <w:rsid w:val="007F2B8E"/>
    <w:rsid w:val="007F2DB0"/>
    <w:rsid w:val="00801CBB"/>
    <w:rsid w:val="00807247"/>
    <w:rsid w:val="00840C2B"/>
    <w:rsid w:val="0084287F"/>
    <w:rsid w:val="00850889"/>
    <w:rsid w:val="00864445"/>
    <w:rsid w:val="008738BC"/>
    <w:rsid w:val="008739FD"/>
    <w:rsid w:val="00880E5E"/>
    <w:rsid w:val="008A4C3D"/>
    <w:rsid w:val="008A7BB6"/>
    <w:rsid w:val="008B5E42"/>
    <w:rsid w:val="008B6520"/>
    <w:rsid w:val="008D6B43"/>
    <w:rsid w:val="008E372C"/>
    <w:rsid w:val="008F03DE"/>
    <w:rsid w:val="00901502"/>
    <w:rsid w:val="009045ED"/>
    <w:rsid w:val="00920FD4"/>
    <w:rsid w:val="00947C09"/>
    <w:rsid w:val="00984F1E"/>
    <w:rsid w:val="00992D41"/>
    <w:rsid w:val="009A6F54"/>
    <w:rsid w:val="009A7E67"/>
    <w:rsid w:val="009B0823"/>
    <w:rsid w:val="009E0C96"/>
    <w:rsid w:val="00A44D2D"/>
    <w:rsid w:val="00A53DCE"/>
    <w:rsid w:val="00A6057A"/>
    <w:rsid w:val="00A670A4"/>
    <w:rsid w:val="00A74017"/>
    <w:rsid w:val="00A82F84"/>
    <w:rsid w:val="00A97A1E"/>
    <w:rsid w:val="00AA332C"/>
    <w:rsid w:val="00AB2B15"/>
    <w:rsid w:val="00AC2446"/>
    <w:rsid w:val="00AC24C7"/>
    <w:rsid w:val="00AC27F8"/>
    <w:rsid w:val="00AC74D0"/>
    <w:rsid w:val="00AD4366"/>
    <w:rsid w:val="00AD4C72"/>
    <w:rsid w:val="00AE20ED"/>
    <w:rsid w:val="00AE2AEE"/>
    <w:rsid w:val="00AF36B6"/>
    <w:rsid w:val="00B1005C"/>
    <w:rsid w:val="00B1394B"/>
    <w:rsid w:val="00B17E32"/>
    <w:rsid w:val="00B230EC"/>
    <w:rsid w:val="00B2788D"/>
    <w:rsid w:val="00B30567"/>
    <w:rsid w:val="00B50DC4"/>
    <w:rsid w:val="00B53AFD"/>
    <w:rsid w:val="00B56EDC"/>
    <w:rsid w:val="00B67C16"/>
    <w:rsid w:val="00B72F3B"/>
    <w:rsid w:val="00B738BA"/>
    <w:rsid w:val="00B75561"/>
    <w:rsid w:val="00B95FCD"/>
    <w:rsid w:val="00BA3FF5"/>
    <w:rsid w:val="00BB1F84"/>
    <w:rsid w:val="00BC5C33"/>
    <w:rsid w:val="00BD17B0"/>
    <w:rsid w:val="00BE5468"/>
    <w:rsid w:val="00BF1E59"/>
    <w:rsid w:val="00BF4A16"/>
    <w:rsid w:val="00C072A0"/>
    <w:rsid w:val="00C10840"/>
    <w:rsid w:val="00C11EAC"/>
    <w:rsid w:val="00C16043"/>
    <w:rsid w:val="00C21CCF"/>
    <w:rsid w:val="00C24CA4"/>
    <w:rsid w:val="00C305D7"/>
    <w:rsid w:val="00C30F2A"/>
    <w:rsid w:val="00C43456"/>
    <w:rsid w:val="00C5109E"/>
    <w:rsid w:val="00C568FA"/>
    <w:rsid w:val="00C65C0C"/>
    <w:rsid w:val="00C808FC"/>
    <w:rsid w:val="00C933F6"/>
    <w:rsid w:val="00CA4066"/>
    <w:rsid w:val="00CC5DCA"/>
    <w:rsid w:val="00CD0A70"/>
    <w:rsid w:val="00CD25AE"/>
    <w:rsid w:val="00CD7D97"/>
    <w:rsid w:val="00CE3EE6"/>
    <w:rsid w:val="00CE4BA1"/>
    <w:rsid w:val="00D000C7"/>
    <w:rsid w:val="00D250AD"/>
    <w:rsid w:val="00D260C0"/>
    <w:rsid w:val="00D3691C"/>
    <w:rsid w:val="00D52A82"/>
    <w:rsid w:val="00D52A9D"/>
    <w:rsid w:val="00D55AAD"/>
    <w:rsid w:val="00D63D53"/>
    <w:rsid w:val="00D747AE"/>
    <w:rsid w:val="00D765E6"/>
    <w:rsid w:val="00D9226C"/>
    <w:rsid w:val="00DA20BD"/>
    <w:rsid w:val="00DB50B4"/>
    <w:rsid w:val="00DD117A"/>
    <w:rsid w:val="00DE50DB"/>
    <w:rsid w:val="00DF5A67"/>
    <w:rsid w:val="00DF6AE1"/>
    <w:rsid w:val="00E4345D"/>
    <w:rsid w:val="00E444FB"/>
    <w:rsid w:val="00E46FD5"/>
    <w:rsid w:val="00E51679"/>
    <w:rsid w:val="00E51FB0"/>
    <w:rsid w:val="00E544BB"/>
    <w:rsid w:val="00E558C0"/>
    <w:rsid w:val="00E56545"/>
    <w:rsid w:val="00E63326"/>
    <w:rsid w:val="00E85004"/>
    <w:rsid w:val="00EA4162"/>
    <w:rsid w:val="00EA5799"/>
    <w:rsid w:val="00EA5D4F"/>
    <w:rsid w:val="00EA6A4E"/>
    <w:rsid w:val="00EB6C56"/>
    <w:rsid w:val="00EB6F21"/>
    <w:rsid w:val="00EC1D79"/>
    <w:rsid w:val="00ED520C"/>
    <w:rsid w:val="00ED54E0"/>
    <w:rsid w:val="00EF4D9F"/>
    <w:rsid w:val="00F018FD"/>
    <w:rsid w:val="00F01C13"/>
    <w:rsid w:val="00F31C7B"/>
    <w:rsid w:val="00F32397"/>
    <w:rsid w:val="00F40595"/>
    <w:rsid w:val="00F64256"/>
    <w:rsid w:val="00F750F1"/>
    <w:rsid w:val="00FA3539"/>
    <w:rsid w:val="00FA5EBC"/>
    <w:rsid w:val="00FC16D0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C124C"/>
  <w15:chartTrackingRefBased/>
  <w15:docId w15:val="{06D93DC8-CDCF-4D35-BEEB-5C1932E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A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F7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CE02-5495-4108-8428-347A26D8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C-TNC</dc:creator>
  <cp:keywords/>
  <dc:description/>
  <cp:lastModifiedBy>Brouillaud, Nadine</cp:lastModifiedBy>
  <cp:revision>2</cp:revision>
  <cp:lastPrinted>2020-01-10T08:10:00Z</cp:lastPrinted>
  <dcterms:created xsi:type="dcterms:W3CDTF">2021-02-04T12:55:00Z</dcterms:created>
  <dcterms:modified xsi:type="dcterms:W3CDTF">2021-02-04T12:55:00Z</dcterms:modified>
</cp:coreProperties>
</file>