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FB2AD" w14:textId="39FE1BBF" w:rsidR="001116F7" w:rsidRDefault="001116F7" w:rsidP="00F34988">
      <w:pPr>
        <w:jc w:val="center"/>
        <w:rPr>
          <w:b/>
          <w:bCs/>
        </w:rPr>
      </w:pPr>
      <w:r>
        <w:rPr>
          <w:b/>
          <w:bCs/>
          <w:noProof/>
        </w:rPr>
        <w:drawing>
          <wp:inline distT="0" distB="0" distL="0" distR="0" wp14:anchorId="4D5F4FEE" wp14:editId="26AB2F84">
            <wp:extent cx="810263" cy="986667"/>
            <wp:effectExtent l="0" t="0" r="8890" b="4445"/>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810263" cy="986667"/>
                    </a:xfrm>
                    <a:prstGeom prst="rect">
                      <a:avLst/>
                    </a:prstGeom>
                  </pic:spPr>
                </pic:pic>
              </a:graphicData>
            </a:graphic>
          </wp:inline>
        </w:drawing>
      </w:r>
    </w:p>
    <w:p w14:paraId="647B4ED1" w14:textId="77777777" w:rsidR="001116F7" w:rsidRDefault="001116F7" w:rsidP="00F34988">
      <w:pPr>
        <w:jc w:val="center"/>
        <w:rPr>
          <w:b/>
          <w:bCs/>
        </w:rPr>
      </w:pPr>
    </w:p>
    <w:p w14:paraId="211B6A8B" w14:textId="5604F58B" w:rsidR="001116F7" w:rsidRPr="00E502D9" w:rsidRDefault="001116F7" w:rsidP="00F34988">
      <w:pPr>
        <w:jc w:val="center"/>
        <w:rPr>
          <w:caps/>
        </w:rPr>
      </w:pPr>
      <w:r w:rsidRPr="001116F7">
        <w:rPr>
          <w:b/>
          <w:bCs/>
          <w:caps/>
        </w:rPr>
        <w:t>WTO</w:t>
      </w:r>
      <w:r w:rsidR="00DD1CC1" w:rsidRPr="001116F7">
        <w:rPr>
          <w:b/>
          <w:bCs/>
          <w:caps/>
        </w:rPr>
        <w:t xml:space="preserve"> </w:t>
      </w:r>
      <w:r w:rsidR="00985E34" w:rsidRPr="001116F7">
        <w:rPr>
          <w:b/>
          <w:bCs/>
          <w:caps/>
        </w:rPr>
        <w:t>Virtual r</w:t>
      </w:r>
      <w:r w:rsidR="00F34988" w:rsidRPr="001116F7">
        <w:rPr>
          <w:b/>
          <w:bCs/>
          <w:caps/>
        </w:rPr>
        <w:t xml:space="preserve">egional workshop on </w:t>
      </w:r>
      <w:r w:rsidR="000F122A">
        <w:rPr>
          <w:b/>
          <w:bCs/>
          <w:caps/>
        </w:rPr>
        <w:t>Agriculture</w:t>
      </w:r>
    </w:p>
    <w:p w14:paraId="4D00549B" w14:textId="4E905E69" w:rsidR="00850889" w:rsidRPr="001116F7" w:rsidRDefault="00F34988" w:rsidP="00F34988">
      <w:pPr>
        <w:jc w:val="center"/>
        <w:rPr>
          <w:b/>
          <w:bCs/>
          <w:caps/>
        </w:rPr>
      </w:pPr>
      <w:r w:rsidRPr="001116F7">
        <w:rPr>
          <w:b/>
          <w:bCs/>
          <w:caps/>
        </w:rPr>
        <w:t>for Arab</w:t>
      </w:r>
      <w:r w:rsidR="001116F7" w:rsidRPr="001116F7">
        <w:rPr>
          <w:b/>
          <w:bCs/>
          <w:caps/>
        </w:rPr>
        <w:t xml:space="preserve"> </w:t>
      </w:r>
      <w:r w:rsidRPr="001116F7">
        <w:rPr>
          <w:b/>
          <w:bCs/>
          <w:caps/>
        </w:rPr>
        <w:t>countries</w:t>
      </w:r>
    </w:p>
    <w:p w14:paraId="20BAAEA1" w14:textId="77777777" w:rsidR="00F34988" w:rsidRDefault="00F34988" w:rsidP="00985E34">
      <w:pPr>
        <w:jc w:val="center"/>
        <w:rPr>
          <w:b/>
          <w:bCs/>
        </w:rPr>
      </w:pPr>
    </w:p>
    <w:p w14:paraId="34CA14AE" w14:textId="560F3171" w:rsidR="00985E34" w:rsidRDefault="005E21B1" w:rsidP="00985E34">
      <w:pPr>
        <w:jc w:val="center"/>
        <w:rPr>
          <w:b/>
          <w:bCs/>
          <w:i/>
          <w:iCs/>
        </w:rPr>
      </w:pPr>
      <w:r>
        <w:rPr>
          <w:b/>
          <w:bCs/>
          <w:i/>
          <w:iCs/>
        </w:rPr>
        <w:t>Tentative</w:t>
      </w:r>
      <w:r w:rsidR="00985E34" w:rsidRPr="00985E34">
        <w:rPr>
          <w:b/>
          <w:bCs/>
          <w:i/>
          <w:iCs/>
        </w:rPr>
        <w:t xml:space="preserve"> programme</w:t>
      </w:r>
      <w:r w:rsidR="00F96A36">
        <w:rPr>
          <w:b/>
          <w:bCs/>
          <w:i/>
          <w:iCs/>
        </w:rPr>
        <w:t xml:space="preserve"> (30.09.2020)</w:t>
      </w:r>
    </w:p>
    <w:p w14:paraId="6D83BA5A" w14:textId="71910CA6" w:rsidR="004853D3" w:rsidRPr="004853D3" w:rsidRDefault="004853D3" w:rsidP="00985E34">
      <w:pPr>
        <w:jc w:val="center"/>
        <w:rPr>
          <w:b/>
          <w:bCs/>
          <w:i/>
          <w:iCs/>
        </w:rPr>
      </w:pPr>
    </w:p>
    <w:p w14:paraId="649F232E" w14:textId="482CB3CF" w:rsidR="004853D3" w:rsidRPr="004853D3" w:rsidRDefault="004853D3" w:rsidP="00985E34">
      <w:pPr>
        <w:jc w:val="center"/>
        <w:rPr>
          <w:b/>
          <w:bCs/>
        </w:rPr>
      </w:pPr>
      <w:r w:rsidRPr="004853D3">
        <w:rPr>
          <w:b/>
          <w:bCs/>
        </w:rPr>
        <w:t>WTO Lecturer</w:t>
      </w:r>
    </w:p>
    <w:p w14:paraId="24241CF3" w14:textId="17DE0F12" w:rsidR="004853D3" w:rsidRDefault="004853D3" w:rsidP="00985E34">
      <w:pPr>
        <w:jc w:val="center"/>
      </w:pPr>
      <w:r>
        <w:t>Doaa Abdel-Motaal</w:t>
      </w:r>
    </w:p>
    <w:p w14:paraId="3CF4F603" w14:textId="38E990BD" w:rsidR="004853D3" w:rsidRDefault="004853D3" w:rsidP="00985E34">
      <w:pPr>
        <w:jc w:val="center"/>
      </w:pPr>
      <w:r>
        <w:t>Senior Counsellor</w:t>
      </w:r>
    </w:p>
    <w:p w14:paraId="7362742E" w14:textId="75FAE86F" w:rsidR="004853D3" w:rsidRDefault="004853D3" w:rsidP="00985E34">
      <w:pPr>
        <w:jc w:val="center"/>
      </w:pPr>
      <w:r>
        <w:t>WTO Agriculture and Commodities Division</w:t>
      </w:r>
    </w:p>
    <w:p w14:paraId="35B3DB2B" w14:textId="77777777" w:rsidR="004853D3" w:rsidRPr="004853D3" w:rsidRDefault="004853D3" w:rsidP="00985E34">
      <w:pPr>
        <w:jc w:val="center"/>
      </w:pPr>
    </w:p>
    <w:p w14:paraId="478827E9" w14:textId="77777777" w:rsidR="00985E34" w:rsidRDefault="00985E34" w:rsidP="00985E34">
      <w:pPr>
        <w:rPr>
          <w:b/>
          <w:bCs/>
        </w:rPr>
      </w:pPr>
    </w:p>
    <w:p w14:paraId="4D6FE12C" w14:textId="16991B77" w:rsidR="00985E34" w:rsidRDefault="005E21B1" w:rsidP="00985E34">
      <w:r>
        <w:rPr>
          <w:b/>
          <w:bCs/>
        </w:rPr>
        <w:t>D</w:t>
      </w:r>
      <w:r w:rsidR="00985E34" w:rsidRPr="00985E34">
        <w:rPr>
          <w:b/>
          <w:bCs/>
        </w:rPr>
        <w:t xml:space="preserve">ates: </w:t>
      </w:r>
      <w:r w:rsidR="00985E34">
        <w:t xml:space="preserve"> </w:t>
      </w:r>
      <w:r w:rsidR="000A1EF6" w:rsidRPr="00F96A36">
        <w:rPr>
          <w:b/>
          <w:bCs/>
        </w:rPr>
        <w:t>14-16</w:t>
      </w:r>
      <w:r w:rsidR="005C2958" w:rsidRPr="00F96A36">
        <w:rPr>
          <w:b/>
          <w:bCs/>
        </w:rPr>
        <w:t xml:space="preserve"> December</w:t>
      </w:r>
      <w:r w:rsidR="00985E34" w:rsidRPr="00F96A36">
        <w:rPr>
          <w:b/>
          <w:bCs/>
        </w:rPr>
        <w:t xml:space="preserve"> 2020</w:t>
      </w:r>
    </w:p>
    <w:p w14:paraId="581E326B" w14:textId="77777777" w:rsidR="00985E34" w:rsidRDefault="00985E34" w:rsidP="00985E34"/>
    <w:p w14:paraId="1981201F" w14:textId="625B5044" w:rsidR="00985E34" w:rsidRDefault="00985E34" w:rsidP="00420168">
      <w:r>
        <w:rPr>
          <w:b/>
          <w:bCs/>
        </w:rPr>
        <w:t xml:space="preserve">Objective: </w:t>
      </w:r>
      <w:r w:rsidR="00420168">
        <w:t>To enhance the understanding</w:t>
      </w:r>
      <w:r w:rsidR="00F000B9">
        <w:t xml:space="preserve"> of</w:t>
      </w:r>
      <w:r w:rsidR="00420168">
        <w:t xml:space="preserve"> the </w:t>
      </w:r>
      <w:r w:rsidR="000A1EF6">
        <w:t>WTO Agreement on Agriculture</w:t>
      </w:r>
      <w:r w:rsidR="00BD5EFB">
        <w:t xml:space="preserve">, the </w:t>
      </w:r>
      <w:r w:rsidR="000A1EF6">
        <w:t xml:space="preserve">ongoing </w:t>
      </w:r>
      <w:r w:rsidR="00F000B9">
        <w:t xml:space="preserve">WTO </w:t>
      </w:r>
      <w:r w:rsidR="000A1EF6">
        <w:t>agriculture negotiations</w:t>
      </w:r>
      <w:r w:rsidR="00BD5EFB">
        <w:t>,</w:t>
      </w:r>
      <w:r w:rsidR="00124A47">
        <w:t xml:space="preserve"> the </w:t>
      </w:r>
      <w:r w:rsidR="00291DE8">
        <w:t xml:space="preserve">impact of the </w:t>
      </w:r>
      <w:r w:rsidR="00124A47">
        <w:t>COVID-19 pandemic</w:t>
      </w:r>
      <w:r w:rsidR="00291DE8">
        <w:t xml:space="preserve"> on agricultural trade</w:t>
      </w:r>
      <w:r w:rsidR="00124A47">
        <w:t>, and</w:t>
      </w:r>
      <w:r w:rsidR="00BD5EFB">
        <w:t xml:space="preserve"> </w:t>
      </w:r>
      <w:r w:rsidR="00124A47">
        <w:t>ongoing discussion</w:t>
      </w:r>
      <w:r w:rsidR="00291DE8">
        <w:t>s</w:t>
      </w:r>
      <w:r w:rsidR="00124A47">
        <w:t xml:space="preserve"> on international trade in the context of preparations </w:t>
      </w:r>
      <w:r w:rsidR="002E6DF6">
        <w:t>for</w:t>
      </w:r>
      <w:r w:rsidR="00124A47">
        <w:t xml:space="preserve"> the United Nations </w:t>
      </w:r>
      <w:r w:rsidR="00291DE8">
        <w:t xml:space="preserve">World </w:t>
      </w:r>
      <w:r w:rsidR="00124A47">
        <w:t>Food Systems Summit of 2021.</w:t>
      </w:r>
    </w:p>
    <w:p w14:paraId="09B9F24C" w14:textId="77777777" w:rsidR="00417739" w:rsidRDefault="00417739" w:rsidP="00420168"/>
    <w:p w14:paraId="3171D5F7" w14:textId="5B39A15D" w:rsidR="00420168" w:rsidRDefault="00417739" w:rsidP="00AB6D5C">
      <w:r>
        <w:rPr>
          <w:b/>
          <w:bCs/>
        </w:rPr>
        <w:t xml:space="preserve">Target audience: </w:t>
      </w:r>
      <w:r w:rsidR="00600A5B" w:rsidRPr="00600A5B">
        <w:t>capital-based officials</w:t>
      </w:r>
      <w:r w:rsidR="00227226">
        <w:t xml:space="preserve">, </w:t>
      </w:r>
      <w:r w:rsidR="00CF21A7">
        <w:t xml:space="preserve">basic </w:t>
      </w:r>
      <w:r w:rsidR="00227226">
        <w:t>level,</w:t>
      </w:r>
      <w:r w:rsidR="00AD570D">
        <w:t xml:space="preserve"> </w:t>
      </w:r>
      <w:r w:rsidR="00ED372E">
        <w:t>that have</w:t>
      </w:r>
      <w:r w:rsidR="00600A5B" w:rsidRPr="00600A5B">
        <w:t xml:space="preserve"> </w:t>
      </w:r>
      <w:r w:rsidR="00ED372E">
        <w:t xml:space="preserve">a </w:t>
      </w:r>
      <w:r w:rsidR="005E21B1">
        <w:t>substantive interest/</w:t>
      </w:r>
      <w:r w:rsidR="005E21B1" w:rsidRPr="00600A5B">
        <w:t>responsibility</w:t>
      </w:r>
      <w:r w:rsidR="00AD570D">
        <w:t xml:space="preserve"> </w:t>
      </w:r>
      <w:r w:rsidR="00600A5B" w:rsidRPr="00600A5B">
        <w:t xml:space="preserve">in </w:t>
      </w:r>
      <w:r w:rsidR="001E65F9">
        <w:t>WTO matters</w:t>
      </w:r>
      <w:r w:rsidR="00CF21A7">
        <w:t>.</w:t>
      </w:r>
    </w:p>
    <w:p w14:paraId="4CF040DB" w14:textId="37F4E3C1" w:rsidR="00AB6D5C" w:rsidRDefault="00AB6D5C" w:rsidP="00AB6D5C"/>
    <w:p w14:paraId="5A18390D" w14:textId="77777777" w:rsidR="00AB6D5C" w:rsidRPr="00AB6D5C" w:rsidRDefault="00AB6D5C" w:rsidP="00AB6D5C">
      <w:pPr>
        <w:rPr>
          <w:b/>
          <w:bCs/>
        </w:rPr>
      </w:pPr>
      <w:r w:rsidRPr="00AB6D5C">
        <w:rPr>
          <w:b/>
          <w:bCs/>
        </w:rPr>
        <w:t xml:space="preserve">Course Description: </w:t>
      </w:r>
    </w:p>
    <w:p w14:paraId="305BBFCD" w14:textId="263909F9" w:rsidR="00B55944" w:rsidRDefault="00AB6D5C" w:rsidP="00AB6D5C">
      <w:r>
        <w:t>The WTO Regional Workshop on Agriculture organized by the Agriculture and Commodities Division (AGCD)</w:t>
      </w:r>
      <w:r w:rsidR="002E6DF6">
        <w:t xml:space="preserve"> will</w:t>
      </w:r>
      <w:r>
        <w:t xml:space="preserve"> offer specialized training to governmental officials involved in different aspects of trade in agriculture. This workshop </w:t>
      </w:r>
      <w:r w:rsidR="002E6DF6">
        <w:t>will be</w:t>
      </w:r>
      <w:r>
        <w:t xml:space="preserve"> tailored to </w:t>
      </w:r>
      <w:r w:rsidR="002E6DF6">
        <w:t xml:space="preserve">the </w:t>
      </w:r>
      <w:r>
        <w:t>specific characteristics and needs of the region, covering inter alia the provisions of the Agreement on Agriculture; the work of the Committee on Agriculture</w:t>
      </w:r>
      <w:r w:rsidR="009067C9">
        <w:t>, and</w:t>
      </w:r>
      <w:r w:rsidR="009067C9" w:rsidRPr="009067C9">
        <w:t xml:space="preserve"> </w:t>
      </w:r>
      <w:r w:rsidR="00F000B9">
        <w:t xml:space="preserve">the </w:t>
      </w:r>
      <w:r w:rsidR="009067C9" w:rsidRPr="009067C9">
        <w:t>WTO agriculture negotiation</w:t>
      </w:r>
      <w:r w:rsidR="009067C9">
        <w:t>s.</w:t>
      </w:r>
      <w:r>
        <w:t xml:space="preserve"> </w:t>
      </w:r>
      <w:r w:rsidR="002E6DF6">
        <w:t xml:space="preserve">The Workshop will </w:t>
      </w:r>
      <w:r w:rsidR="00F000B9">
        <w:t>also address</w:t>
      </w:r>
      <w:r w:rsidR="002E6DF6">
        <w:t xml:space="preserve"> the </w:t>
      </w:r>
      <w:r w:rsidR="009067C9">
        <w:t xml:space="preserve">impact of </w:t>
      </w:r>
      <w:r w:rsidR="002E6DF6">
        <w:t>the COVID-19 pandemic</w:t>
      </w:r>
      <w:r w:rsidR="009067C9">
        <w:t xml:space="preserve"> on agricultural trade</w:t>
      </w:r>
      <w:r w:rsidR="002E6DF6">
        <w:t>, and ongoing discussions on international trade in the context of the United Nations</w:t>
      </w:r>
      <w:r w:rsidR="009067C9">
        <w:t xml:space="preserve"> World</w:t>
      </w:r>
      <w:r w:rsidR="002E6DF6">
        <w:t xml:space="preserve"> Food Systems Summit of 2021.</w:t>
      </w:r>
    </w:p>
    <w:p w14:paraId="7D1AE86D" w14:textId="77777777" w:rsidR="00CF21A7" w:rsidRDefault="00CF21A7" w:rsidP="00CF21A7"/>
    <w:p w14:paraId="756CB696" w14:textId="3D3E9E3F" w:rsidR="00B70F19" w:rsidRPr="00B70F19" w:rsidRDefault="00417739" w:rsidP="00B70F19">
      <w:pPr>
        <w:rPr>
          <w:b/>
          <w:bCs/>
          <w:lang w:val="en-US"/>
        </w:rPr>
      </w:pPr>
      <w:r>
        <w:rPr>
          <w:b/>
          <w:bCs/>
        </w:rPr>
        <w:t>Programme:</w:t>
      </w:r>
      <w:r w:rsidR="00C07C38">
        <w:rPr>
          <w:b/>
          <w:bCs/>
        </w:rPr>
        <w:t xml:space="preserve"> </w:t>
      </w:r>
      <w:r w:rsidR="00B70F19" w:rsidRPr="001C4D3B">
        <w:rPr>
          <w:b/>
          <w:bCs/>
          <w:lang w:val="en-US"/>
        </w:rPr>
        <w:t>11-13.30 am Kuwait Time</w:t>
      </w:r>
      <w:bookmarkStart w:id="0" w:name="_GoBack"/>
      <w:bookmarkEnd w:id="0"/>
    </w:p>
    <w:p w14:paraId="28A6F01F" w14:textId="77777777" w:rsidR="00417739" w:rsidRDefault="00417739" w:rsidP="00420168"/>
    <w:p w14:paraId="27569960" w14:textId="15945D62" w:rsidR="00417739" w:rsidRPr="00342455" w:rsidRDefault="00417739" w:rsidP="00420168">
      <w:pPr>
        <w:pStyle w:val="ListParagraph"/>
        <w:numPr>
          <w:ilvl w:val="0"/>
          <w:numId w:val="18"/>
        </w:numPr>
        <w:rPr>
          <w:b/>
          <w:bCs/>
        </w:rPr>
      </w:pPr>
      <w:r w:rsidRPr="00342455">
        <w:rPr>
          <w:b/>
          <w:bCs/>
        </w:rPr>
        <w:t>Session 1</w:t>
      </w:r>
      <w:r w:rsidR="00B263F4">
        <w:rPr>
          <w:b/>
          <w:bCs/>
        </w:rPr>
        <w:t xml:space="preserve"> (14 December)</w:t>
      </w:r>
      <w:r w:rsidRPr="00342455">
        <w:rPr>
          <w:b/>
          <w:bCs/>
        </w:rPr>
        <w:t xml:space="preserve"> – Overview of </w:t>
      </w:r>
      <w:r w:rsidR="007749F5">
        <w:rPr>
          <w:b/>
          <w:bCs/>
        </w:rPr>
        <w:t>the WTO Agreement on Agriculture, and its Relevance to the Arab Region</w:t>
      </w:r>
    </w:p>
    <w:p w14:paraId="4046AF9F" w14:textId="159DDC0D" w:rsidR="00417739" w:rsidRDefault="00417739" w:rsidP="00417739">
      <w:pPr>
        <w:pStyle w:val="ListParagraph"/>
      </w:pPr>
      <w:r>
        <w:t xml:space="preserve">This session will provide participants with </w:t>
      </w:r>
      <w:r w:rsidR="007749F5">
        <w:t xml:space="preserve">an overview of </w:t>
      </w:r>
      <w:r w:rsidR="007F4979">
        <w:t xml:space="preserve">the WTO </w:t>
      </w:r>
      <w:r w:rsidR="004C7BD3">
        <w:t>Agreement on Agriculture, its various pillars, and its contribution to a more open, transparent, non-</w:t>
      </w:r>
      <w:r w:rsidR="004853D3">
        <w:t>discriminatory</w:t>
      </w:r>
      <w:r w:rsidR="004C7BD3">
        <w:t xml:space="preserve"> and predictable </w:t>
      </w:r>
      <w:r w:rsidR="00F000B9">
        <w:t>agricultural trading</w:t>
      </w:r>
      <w:r w:rsidR="004C7BD3">
        <w:t xml:space="preserve"> system, and to a more level playing field.  The session will focus on the relevance of the Agreement to the Arab region, examining recent commercial disputes that been brought to the WTO under the Agreement.</w:t>
      </w:r>
    </w:p>
    <w:p w14:paraId="72CC45FE" w14:textId="77777777" w:rsidR="00342455" w:rsidRDefault="00342455" w:rsidP="00342455">
      <w:pPr>
        <w:rPr>
          <w:b/>
          <w:bCs/>
        </w:rPr>
      </w:pPr>
    </w:p>
    <w:p w14:paraId="21A61C4F" w14:textId="3EB38FF0" w:rsidR="00342455" w:rsidRPr="00342455" w:rsidRDefault="00342455" w:rsidP="00342455">
      <w:pPr>
        <w:pStyle w:val="ListParagraph"/>
        <w:numPr>
          <w:ilvl w:val="0"/>
          <w:numId w:val="18"/>
        </w:numPr>
        <w:rPr>
          <w:b/>
          <w:bCs/>
        </w:rPr>
      </w:pPr>
      <w:r w:rsidRPr="00342455">
        <w:rPr>
          <w:b/>
          <w:bCs/>
        </w:rPr>
        <w:t xml:space="preserve">Session 2 </w:t>
      </w:r>
      <w:r w:rsidR="00B263F4">
        <w:rPr>
          <w:b/>
          <w:bCs/>
        </w:rPr>
        <w:t xml:space="preserve">(15 December) </w:t>
      </w:r>
      <w:r w:rsidRPr="00342455">
        <w:rPr>
          <w:b/>
          <w:bCs/>
        </w:rPr>
        <w:t>–</w:t>
      </w:r>
      <w:r w:rsidR="00B263F4">
        <w:rPr>
          <w:b/>
          <w:bCs/>
        </w:rPr>
        <w:t xml:space="preserve"> </w:t>
      </w:r>
      <w:r w:rsidR="007749F5">
        <w:rPr>
          <w:b/>
          <w:bCs/>
        </w:rPr>
        <w:t>Overview of Ongoing Agriculture Negotiations in the WTO, and their Relevance to the Arab Region</w:t>
      </w:r>
    </w:p>
    <w:p w14:paraId="7C98C010" w14:textId="73E84BC2" w:rsidR="00342455" w:rsidRDefault="00342455" w:rsidP="00342455">
      <w:pPr>
        <w:pStyle w:val="ListParagraph"/>
      </w:pPr>
      <w:r>
        <w:t xml:space="preserve">This session will </w:t>
      </w:r>
      <w:r w:rsidR="004C7BD3">
        <w:t>explore the different issues under negotiation in the Committee on Agriculture in Special Session</w:t>
      </w:r>
      <w:r>
        <w:t xml:space="preserve">. It </w:t>
      </w:r>
      <w:r w:rsidR="00F000B9">
        <w:t xml:space="preserve">will </w:t>
      </w:r>
      <w:r>
        <w:t>w</w:t>
      </w:r>
      <w:r w:rsidR="004C7BD3">
        <w:t>alk participants through the main proposals made by Members under</w:t>
      </w:r>
      <w:r w:rsidR="00F000B9">
        <w:t xml:space="preserve"> the</w:t>
      </w:r>
      <w:r w:rsidR="004C7BD3">
        <w:t xml:space="preserve"> different pillars of the Agreement, and the overall progress that has been </w:t>
      </w:r>
      <w:r w:rsidR="00F000B9">
        <w:t>achieved</w:t>
      </w:r>
      <w:r w:rsidR="004C7BD3">
        <w:t xml:space="preserve"> in recent Ministerial Conferences and Decisions.</w:t>
      </w:r>
    </w:p>
    <w:p w14:paraId="0B0D1CF4" w14:textId="77777777" w:rsidR="00342455" w:rsidRDefault="00342455" w:rsidP="00342455"/>
    <w:p w14:paraId="36E277C7" w14:textId="77777777" w:rsidR="00B263F4" w:rsidRPr="00B263F4" w:rsidRDefault="00342455" w:rsidP="00207230">
      <w:pPr>
        <w:pStyle w:val="ListParagraph"/>
        <w:numPr>
          <w:ilvl w:val="0"/>
          <w:numId w:val="18"/>
        </w:numPr>
      </w:pPr>
      <w:r>
        <w:rPr>
          <w:b/>
          <w:bCs/>
        </w:rPr>
        <w:t xml:space="preserve">Session 3 </w:t>
      </w:r>
      <w:r w:rsidR="00B263F4">
        <w:rPr>
          <w:b/>
          <w:bCs/>
        </w:rPr>
        <w:t xml:space="preserve">(16 December) </w:t>
      </w:r>
    </w:p>
    <w:p w14:paraId="22AA4B64" w14:textId="77777777" w:rsidR="00B263F4" w:rsidRDefault="00B263F4" w:rsidP="00B263F4">
      <w:pPr>
        <w:rPr>
          <w:b/>
          <w:bCs/>
        </w:rPr>
      </w:pPr>
    </w:p>
    <w:p w14:paraId="111C68ED" w14:textId="67E4D837" w:rsidR="00207230" w:rsidRPr="00207230" w:rsidRDefault="004C7BD3" w:rsidP="00B263F4">
      <w:pPr>
        <w:pStyle w:val="ListParagraph"/>
        <w:numPr>
          <w:ilvl w:val="2"/>
          <w:numId w:val="18"/>
        </w:numPr>
      </w:pPr>
      <w:r w:rsidRPr="00B263F4">
        <w:rPr>
          <w:b/>
          <w:bCs/>
        </w:rPr>
        <w:t xml:space="preserve">The Impact of </w:t>
      </w:r>
      <w:r w:rsidR="007749F5" w:rsidRPr="00B263F4">
        <w:rPr>
          <w:b/>
          <w:bCs/>
        </w:rPr>
        <w:t>COVID-19</w:t>
      </w:r>
      <w:r w:rsidRPr="00B263F4">
        <w:rPr>
          <w:b/>
          <w:bCs/>
        </w:rPr>
        <w:t xml:space="preserve"> on Agricultural Trade</w:t>
      </w:r>
    </w:p>
    <w:p w14:paraId="09F20CFD" w14:textId="1B9DCC10" w:rsidR="00C07C38" w:rsidRDefault="00207230" w:rsidP="00B263F4">
      <w:pPr>
        <w:ind w:left="2160"/>
      </w:pPr>
      <w:r>
        <w:t xml:space="preserve">This session will </w:t>
      </w:r>
      <w:r w:rsidR="004C7BD3">
        <w:t>examine the impact of the COVID-19 pandemic on international trade, and the trade policy response taken by WTO Members.  It will engage participants in a discussion of the key lessons to be learned from the pandemic.</w:t>
      </w:r>
    </w:p>
    <w:p w14:paraId="0FAA42EE" w14:textId="77777777" w:rsidR="00F000B9" w:rsidRDefault="00F000B9" w:rsidP="00207230">
      <w:pPr>
        <w:pStyle w:val="ListParagraph"/>
      </w:pPr>
    </w:p>
    <w:p w14:paraId="25E904ED" w14:textId="77777777" w:rsidR="00207230" w:rsidRPr="00207230" w:rsidRDefault="008843AA" w:rsidP="00207230">
      <w:pPr>
        <w:pStyle w:val="ListParagraph"/>
      </w:pPr>
      <w:r>
        <w:t xml:space="preserve"> </w:t>
      </w:r>
    </w:p>
    <w:p w14:paraId="776EC8B8" w14:textId="278450A4" w:rsidR="00207230" w:rsidRPr="00C07C38" w:rsidRDefault="007749F5" w:rsidP="00B263F4">
      <w:pPr>
        <w:pStyle w:val="ListParagraph"/>
        <w:numPr>
          <w:ilvl w:val="2"/>
          <w:numId w:val="18"/>
        </w:numPr>
      </w:pPr>
      <w:r w:rsidRPr="00B263F4">
        <w:rPr>
          <w:b/>
          <w:bCs/>
        </w:rPr>
        <w:t>Topical Issues in Agriculture and Ongoing Preparations for the United Nations Food Systems Summit of 2021</w:t>
      </w:r>
    </w:p>
    <w:p w14:paraId="577F0E54" w14:textId="1AD9876D" w:rsidR="004C7BD3" w:rsidRDefault="00C07C38" w:rsidP="00B263F4">
      <w:pPr>
        <w:pStyle w:val="ListParagraph"/>
        <w:ind w:left="2160"/>
      </w:pPr>
      <w:r>
        <w:t xml:space="preserve">This session will </w:t>
      </w:r>
      <w:r w:rsidR="004C7BD3">
        <w:t xml:space="preserve">examine the role of the Agreement on Agriculture in addressing many of the themes that will be taken up in the United Nations World Food Systems Summit of 2021, which has been called for by the United Nations Secretary General. These </w:t>
      </w:r>
      <w:r w:rsidR="004853D3">
        <w:t>include</w:t>
      </w:r>
      <w:r w:rsidR="004C7BD3">
        <w:t xml:space="preserve"> trade and food security, trade and nutrition, trade and sustainable development and more.</w:t>
      </w:r>
      <w:r w:rsidR="004C7BD3" w:rsidRPr="004C7BD3">
        <w:t xml:space="preserve"> </w:t>
      </w:r>
      <w:r w:rsidR="004C7BD3">
        <w:t>It will engage participants in a discussion of the contribution that the WTO can make towards these various themes.</w:t>
      </w:r>
    </w:p>
    <w:p w14:paraId="4FBF41AC" w14:textId="77777777" w:rsidR="004853D3" w:rsidRDefault="004853D3" w:rsidP="00F000B9"/>
    <w:p w14:paraId="5AEDBF7E" w14:textId="77777777" w:rsidR="00B263F4" w:rsidRDefault="00B263F4" w:rsidP="00442E76">
      <w:pPr>
        <w:rPr>
          <w:b/>
          <w:bCs/>
        </w:rPr>
      </w:pPr>
    </w:p>
    <w:p w14:paraId="701725C4" w14:textId="3B522F4F" w:rsidR="00600A5B" w:rsidRPr="00F96A36" w:rsidRDefault="00D16CAA" w:rsidP="00442E76">
      <w:pPr>
        <w:rPr>
          <w:b/>
          <w:bCs/>
          <w:szCs w:val="18"/>
        </w:rPr>
      </w:pPr>
      <w:r w:rsidRPr="00F96A36">
        <w:rPr>
          <w:b/>
          <w:bCs/>
          <w:szCs w:val="18"/>
        </w:rPr>
        <w:t>Core</w:t>
      </w:r>
      <w:r w:rsidR="00442E76" w:rsidRPr="00F96A36">
        <w:rPr>
          <w:b/>
          <w:bCs/>
          <w:szCs w:val="18"/>
        </w:rPr>
        <w:t xml:space="preserve"> </w:t>
      </w:r>
      <w:r w:rsidR="00F000B9" w:rsidRPr="00F96A36">
        <w:rPr>
          <w:b/>
          <w:bCs/>
          <w:szCs w:val="18"/>
        </w:rPr>
        <w:t xml:space="preserve">Background </w:t>
      </w:r>
      <w:r w:rsidR="00442E76" w:rsidRPr="00F96A36">
        <w:rPr>
          <w:b/>
          <w:bCs/>
          <w:szCs w:val="18"/>
        </w:rPr>
        <w:t>Material:</w:t>
      </w:r>
    </w:p>
    <w:p w14:paraId="5E07DBC6" w14:textId="6E871DC2" w:rsidR="00D16CAA" w:rsidRPr="00F96A36" w:rsidRDefault="00D16CAA" w:rsidP="00442E76">
      <w:pPr>
        <w:rPr>
          <w:szCs w:val="18"/>
        </w:rPr>
      </w:pPr>
    </w:p>
    <w:p w14:paraId="508D8BB8" w14:textId="45CB1FF1" w:rsidR="00D16CAA" w:rsidRPr="00F96A36" w:rsidRDefault="00D16CAA" w:rsidP="00442E76">
      <w:pPr>
        <w:rPr>
          <w:b/>
          <w:bCs/>
          <w:szCs w:val="18"/>
        </w:rPr>
      </w:pPr>
      <w:r w:rsidRPr="00F96A36">
        <w:rPr>
          <w:szCs w:val="18"/>
        </w:rPr>
        <w:t>[Additional readings, statistics</w:t>
      </w:r>
      <w:r w:rsidR="004853D3" w:rsidRPr="00F96A36">
        <w:rPr>
          <w:szCs w:val="18"/>
        </w:rPr>
        <w:t>, and audio-visual material</w:t>
      </w:r>
      <w:r w:rsidRPr="00F96A36">
        <w:rPr>
          <w:szCs w:val="18"/>
        </w:rPr>
        <w:t xml:space="preserve"> will be shared during the actual course]</w:t>
      </w:r>
    </w:p>
    <w:p w14:paraId="29E96F50" w14:textId="7B602A33" w:rsidR="001116F7" w:rsidRPr="00F96A36" w:rsidRDefault="001116F7" w:rsidP="00600A5B">
      <w:pPr>
        <w:pStyle w:val="ListParagraph"/>
        <w:rPr>
          <w:szCs w:val="18"/>
        </w:rPr>
      </w:pPr>
    </w:p>
    <w:p w14:paraId="140B7AED" w14:textId="77777777" w:rsidR="00442E76" w:rsidRPr="00F96A36" w:rsidRDefault="00442E76" w:rsidP="00442E76">
      <w:pPr>
        <w:numPr>
          <w:ilvl w:val="0"/>
          <w:numId w:val="20"/>
        </w:numPr>
        <w:autoSpaceDE w:val="0"/>
        <w:autoSpaceDN w:val="0"/>
        <w:adjustRightInd w:val="0"/>
        <w:rPr>
          <w:rFonts w:eastAsia="Calibri" w:cs="Times New Roman"/>
          <w:i/>
          <w:iCs/>
          <w:szCs w:val="18"/>
          <w:lang w:eastAsia="zh-TW" w:bidi="th-TH"/>
        </w:rPr>
      </w:pPr>
      <w:r w:rsidRPr="00F96A36">
        <w:rPr>
          <w:rFonts w:eastAsia="Calibri" w:cs="Times New Roman"/>
          <w:szCs w:val="18"/>
          <w:lang w:eastAsia="zh-TW" w:bidi="th-TH"/>
        </w:rPr>
        <w:t xml:space="preserve">WTO Agreement on Agriculture, </w:t>
      </w:r>
      <w:r w:rsidRPr="00F96A36">
        <w:rPr>
          <w:rFonts w:eastAsia="Calibri" w:cs="Times New Roman"/>
          <w:i/>
          <w:iCs/>
          <w:szCs w:val="18"/>
          <w:lang w:eastAsia="zh-TW" w:bidi="th-TH"/>
        </w:rPr>
        <w:t>WTO Agreement Series</w:t>
      </w:r>
    </w:p>
    <w:p w14:paraId="17778B86" w14:textId="77777777" w:rsidR="00442E76" w:rsidRPr="00F96A36" w:rsidRDefault="00442E76" w:rsidP="00442E76">
      <w:pPr>
        <w:autoSpaceDE w:val="0"/>
        <w:autoSpaceDN w:val="0"/>
        <w:adjustRightInd w:val="0"/>
        <w:ind w:left="720"/>
        <w:rPr>
          <w:rFonts w:eastAsia="Calibri" w:cs="Times New Roman"/>
          <w:i/>
          <w:iCs/>
          <w:szCs w:val="18"/>
          <w:lang w:eastAsia="zh-TW" w:bidi="th-TH"/>
        </w:rPr>
      </w:pPr>
      <w:r w:rsidRPr="00F96A36">
        <w:rPr>
          <w:rFonts w:eastAsia="Calibri" w:cs="Times New Roman"/>
          <w:i/>
          <w:iCs/>
          <w:szCs w:val="18"/>
          <w:lang w:eastAsia="zh-TW" w:bidi="th-TH"/>
        </w:rPr>
        <w:t>(</w:t>
      </w:r>
      <w:hyperlink r:id="rId8" w:history="1">
        <w:r w:rsidRPr="00F96A36">
          <w:rPr>
            <w:rFonts w:eastAsia="Calibri" w:cs="Times New Roman"/>
            <w:i/>
            <w:color w:val="0000FF" w:themeColor="hyperlink"/>
            <w:szCs w:val="18"/>
            <w:u w:val="single"/>
            <w:lang w:eastAsia="zh-TW" w:bidi="th-TH"/>
          </w:rPr>
          <w:t>https://www.wto.org/english/res_e/booksp_e/agric_agreement_series_3_e.pdf</w:t>
        </w:r>
      </w:hyperlink>
      <w:r w:rsidRPr="00F96A36">
        <w:rPr>
          <w:rFonts w:eastAsia="Calibri" w:cs="Times New Roman"/>
          <w:i/>
          <w:iCs/>
          <w:szCs w:val="18"/>
          <w:lang w:eastAsia="zh-TW" w:bidi="th-TH"/>
        </w:rPr>
        <w:t>)</w:t>
      </w:r>
    </w:p>
    <w:p w14:paraId="140F8DD1" w14:textId="77777777" w:rsidR="00442E76" w:rsidRPr="00F96A36" w:rsidRDefault="00442E76" w:rsidP="00442E76">
      <w:pPr>
        <w:numPr>
          <w:ilvl w:val="0"/>
          <w:numId w:val="20"/>
        </w:numPr>
        <w:autoSpaceDE w:val="0"/>
        <w:autoSpaceDN w:val="0"/>
        <w:adjustRightInd w:val="0"/>
        <w:rPr>
          <w:rFonts w:eastAsia="Calibri" w:cs="Times New Roman"/>
          <w:iCs/>
          <w:szCs w:val="18"/>
          <w:lang w:eastAsia="zh-TW" w:bidi="th-TH"/>
        </w:rPr>
      </w:pPr>
      <w:r w:rsidRPr="00F96A36">
        <w:rPr>
          <w:rFonts w:eastAsia="Calibri" w:cs="Times New Roman"/>
          <w:iCs/>
          <w:szCs w:val="18"/>
          <w:lang w:eastAsia="zh-TW" w:bidi="th-TH"/>
        </w:rPr>
        <w:t>Bali Ministerial Decisions on agriculture:</w:t>
      </w:r>
    </w:p>
    <w:p w14:paraId="33C04B4A" w14:textId="77777777" w:rsidR="00442E76" w:rsidRPr="00F96A36" w:rsidRDefault="00442E76" w:rsidP="00442E76">
      <w:pPr>
        <w:numPr>
          <w:ilvl w:val="1"/>
          <w:numId w:val="20"/>
        </w:numPr>
        <w:autoSpaceDE w:val="0"/>
        <w:autoSpaceDN w:val="0"/>
        <w:adjustRightInd w:val="0"/>
        <w:rPr>
          <w:rFonts w:eastAsia="Calibri" w:cs="Times New Roman"/>
          <w:iCs/>
          <w:szCs w:val="18"/>
          <w:lang w:eastAsia="zh-TW" w:bidi="th-TH"/>
        </w:rPr>
      </w:pPr>
      <w:r w:rsidRPr="00F96A36">
        <w:rPr>
          <w:rFonts w:eastAsia="Calibri" w:cs="Times New Roman"/>
          <w:iCs/>
          <w:szCs w:val="18"/>
          <w:lang w:eastAsia="zh-TW" w:bidi="th-TH"/>
        </w:rPr>
        <w:t>General Services - WT/</w:t>
      </w:r>
      <w:proofErr w:type="gramStart"/>
      <w:r w:rsidRPr="00F96A36">
        <w:rPr>
          <w:rFonts w:eastAsia="Calibri" w:cs="Times New Roman"/>
          <w:iCs/>
          <w:szCs w:val="18"/>
          <w:lang w:eastAsia="zh-TW" w:bidi="th-TH"/>
        </w:rPr>
        <w:t>MIN(</w:t>
      </w:r>
      <w:proofErr w:type="gramEnd"/>
      <w:r w:rsidRPr="00F96A36">
        <w:rPr>
          <w:rFonts w:eastAsia="Calibri" w:cs="Times New Roman"/>
          <w:iCs/>
          <w:szCs w:val="18"/>
          <w:lang w:eastAsia="zh-TW" w:bidi="th-TH"/>
        </w:rPr>
        <w:t xml:space="preserve">13)/37 </w:t>
      </w:r>
    </w:p>
    <w:p w14:paraId="731530D8" w14:textId="77777777" w:rsidR="00442E76" w:rsidRPr="00F96A36" w:rsidRDefault="00442E76" w:rsidP="00442E76">
      <w:pPr>
        <w:numPr>
          <w:ilvl w:val="1"/>
          <w:numId w:val="20"/>
        </w:numPr>
        <w:autoSpaceDE w:val="0"/>
        <w:autoSpaceDN w:val="0"/>
        <w:adjustRightInd w:val="0"/>
        <w:rPr>
          <w:rFonts w:eastAsia="Calibri" w:cs="Times New Roman"/>
          <w:iCs/>
          <w:szCs w:val="18"/>
          <w:lang w:eastAsia="zh-TW" w:bidi="th-TH"/>
        </w:rPr>
      </w:pPr>
      <w:r w:rsidRPr="00F96A36">
        <w:rPr>
          <w:rFonts w:eastAsia="Calibri" w:cs="Times New Roman"/>
          <w:iCs/>
          <w:szCs w:val="18"/>
          <w:lang w:eastAsia="zh-TW" w:bidi="th-TH"/>
        </w:rPr>
        <w:t>Public Stockholding for Food Security Purposes - WT/</w:t>
      </w:r>
      <w:proofErr w:type="gramStart"/>
      <w:r w:rsidRPr="00F96A36">
        <w:rPr>
          <w:rFonts w:eastAsia="Calibri" w:cs="Times New Roman"/>
          <w:iCs/>
          <w:szCs w:val="18"/>
          <w:lang w:eastAsia="zh-TW" w:bidi="th-TH"/>
        </w:rPr>
        <w:t>MIN(</w:t>
      </w:r>
      <w:proofErr w:type="gramEnd"/>
      <w:r w:rsidRPr="00F96A36">
        <w:rPr>
          <w:rFonts w:eastAsia="Calibri" w:cs="Times New Roman"/>
          <w:iCs/>
          <w:szCs w:val="18"/>
          <w:lang w:eastAsia="zh-TW" w:bidi="th-TH"/>
        </w:rPr>
        <w:t>13)/38</w:t>
      </w:r>
    </w:p>
    <w:p w14:paraId="0EFFBBF1" w14:textId="77777777" w:rsidR="00442E76" w:rsidRPr="00F96A36" w:rsidRDefault="00442E76" w:rsidP="00442E76">
      <w:pPr>
        <w:numPr>
          <w:ilvl w:val="1"/>
          <w:numId w:val="20"/>
        </w:numPr>
        <w:autoSpaceDE w:val="0"/>
        <w:autoSpaceDN w:val="0"/>
        <w:adjustRightInd w:val="0"/>
        <w:rPr>
          <w:rFonts w:eastAsia="Calibri" w:cs="Times New Roman"/>
          <w:iCs/>
          <w:szCs w:val="18"/>
          <w:lang w:eastAsia="zh-TW" w:bidi="th-TH"/>
        </w:rPr>
      </w:pPr>
      <w:r w:rsidRPr="00F96A36">
        <w:rPr>
          <w:rFonts w:eastAsia="Calibri" w:cs="Times New Roman"/>
          <w:iCs/>
          <w:szCs w:val="18"/>
          <w:lang w:eastAsia="zh-TW" w:bidi="th-TH"/>
        </w:rPr>
        <w:t>Tariff Rate Quota Administration - WT/</w:t>
      </w:r>
      <w:proofErr w:type="gramStart"/>
      <w:r w:rsidRPr="00F96A36">
        <w:rPr>
          <w:rFonts w:eastAsia="Calibri" w:cs="Times New Roman"/>
          <w:iCs/>
          <w:szCs w:val="18"/>
          <w:lang w:eastAsia="zh-TW" w:bidi="th-TH"/>
        </w:rPr>
        <w:t>MIN(</w:t>
      </w:r>
      <w:proofErr w:type="gramEnd"/>
      <w:r w:rsidRPr="00F96A36">
        <w:rPr>
          <w:rFonts w:eastAsia="Calibri" w:cs="Times New Roman"/>
          <w:iCs/>
          <w:szCs w:val="18"/>
          <w:lang w:eastAsia="zh-TW" w:bidi="th-TH"/>
        </w:rPr>
        <w:t>13)/39</w:t>
      </w:r>
    </w:p>
    <w:p w14:paraId="03D9CE91" w14:textId="77777777" w:rsidR="00442E76" w:rsidRPr="00F96A36" w:rsidRDefault="00442E76" w:rsidP="00442E76">
      <w:pPr>
        <w:numPr>
          <w:ilvl w:val="1"/>
          <w:numId w:val="20"/>
        </w:numPr>
        <w:autoSpaceDE w:val="0"/>
        <w:autoSpaceDN w:val="0"/>
        <w:adjustRightInd w:val="0"/>
        <w:rPr>
          <w:rFonts w:eastAsia="Calibri" w:cs="Times New Roman"/>
          <w:iCs/>
          <w:szCs w:val="18"/>
          <w:lang w:eastAsia="zh-TW" w:bidi="th-TH"/>
        </w:rPr>
      </w:pPr>
      <w:r w:rsidRPr="00F96A36">
        <w:rPr>
          <w:rFonts w:eastAsia="Calibri" w:cs="Times New Roman"/>
          <w:iCs/>
          <w:szCs w:val="18"/>
          <w:lang w:eastAsia="zh-TW" w:bidi="th-TH"/>
        </w:rPr>
        <w:t>Export Competition - WT/</w:t>
      </w:r>
      <w:proofErr w:type="gramStart"/>
      <w:r w:rsidRPr="00F96A36">
        <w:rPr>
          <w:rFonts w:eastAsia="Calibri" w:cs="Times New Roman"/>
          <w:iCs/>
          <w:szCs w:val="18"/>
          <w:lang w:eastAsia="zh-TW" w:bidi="th-TH"/>
        </w:rPr>
        <w:t>MIN(</w:t>
      </w:r>
      <w:proofErr w:type="gramEnd"/>
      <w:r w:rsidRPr="00F96A36">
        <w:rPr>
          <w:rFonts w:eastAsia="Calibri" w:cs="Times New Roman"/>
          <w:iCs/>
          <w:szCs w:val="18"/>
          <w:lang w:eastAsia="zh-TW" w:bidi="th-TH"/>
        </w:rPr>
        <w:t>13)/40</w:t>
      </w:r>
    </w:p>
    <w:p w14:paraId="55D64520" w14:textId="77777777" w:rsidR="00442E76" w:rsidRPr="00F96A36" w:rsidRDefault="00442E76" w:rsidP="00442E76">
      <w:pPr>
        <w:numPr>
          <w:ilvl w:val="1"/>
          <w:numId w:val="20"/>
        </w:numPr>
        <w:autoSpaceDE w:val="0"/>
        <w:autoSpaceDN w:val="0"/>
        <w:adjustRightInd w:val="0"/>
        <w:rPr>
          <w:rFonts w:eastAsia="Calibri" w:cs="Times New Roman"/>
          <w:iCs/>
          <w:szCs w:val="18"/>
          <w:lang w:eastAsia="zh-TW" w:bidi="th-TH"/>
        </w:rPr>
      </w:pPr>
      <w:r w:rsidRPr="00F96A36">
        <w:rPr>
          <w:rFonts w:eastAsia="Calibri" w:cs="Times New Roman"/>
          <w:iCs/>
          <w:szCs w:val="18"/>
          <w:lang w:eastAsia="zh-TW" w:bidi="th-TH"/>
        </w:rPr>
        <w:t>Cotton - WT/</w:t>
      </w:r>
      <w:proofErr w:type="gramStart"/>
      <w:r w:rsidRPr="00F96A36">
        <w:rPr>
          <w:rFonts w:eastAsia="Calibri" w:cs="Times New Roman"/>
          <w:iCs/>
          <w:szCs w:val="18"/>
          <w:lang w:eastAsia="zh-TW" w:bidi="th-TH"/>
        </w:rPr>
        <w:t>MIN(</w:t>
      </w:r>
      <w:proofErr w:type="gramEnd"/>
      <w:r w:rsidRPr="00F96A36">
        <w:rPr>
          <w:rFonts w:eastAsia="Calibri" w:cs="Times New Roman"/>
          <w:iCs/>
          <w:szCs w:val="18"/>
          <w:lang w:eastAsia="zh-TW" w:bidi="th-TH"/>
        </w:rPr>
        <w:t>13)/41</w:t>
      </w:r>
    </w:p>
    <w:p w14:paraId="1826BC29" w14:textId="77777777" w:rsidR="00442E76" w:rsidRPr="00F96A36" w:rsidRDefault="00442E76" w:rsidP="00442E76">
      <w:pPr>
        <w:numPr>
          <w:ilvl w:val="0"/>
          <w:numId w:val="20"/>
        </w:numPr>
        <w:autoSpaceDE w:val="0"/>
        <w:autoSpaceDN w:val="0"/>
        <w:adjustRightInd w:val="0"/>
        <w:rPr>
          <w:rFonts w:eastAsia="Calibri" w:cs="Times New Roman"/>
          <w:iCs/>
          <w:szCs w:val="18"/>
          <w:lang w:eastAsia="zh-TW" w:bidi="th-TH"/>
        </w:rPr>
      </w:pPr>
      <w:r w:rsidRPr="00F96A36">
        <w:rPr>
          <w:rFonts w:eastAsia="Calibri" w:cs="Times New Roman"/>
          <w:iCs/>
          <w:szCs w:val="18"/>
          <w:lang w:eastAsia="zh-TW" w:bidi="th-TH"/>
        </w:rPr>
        <w:t>General Council Decision on Public Stockholding for Food Security Purposes – WT/L/939</w:t>
      </w:r>
    </w:p>
    <w:p w14:paraId="210D3B13" w14:textId="77777777" w:rsidR="00442E76" w:rsidRPr="00F96A36" w:rsidRDefault="00442E76" w:rsidP="00442E76">
      <w:pPr>
        <w:numPr>
          <w:ilvl w:val="0"/>
          <w:numId w:val="20"/>
        </w:numPr>
        <w:autoSpaceDE w:val="0"/>
        <w:autoSpaceDN w:val="0"/>
        <w:adjustRightInd w:val="0"/>
        <w:rPr>
          <w:rFonts w:eastAsia="Calibri" w:cs="Times New Roman"/>
          <w:iCs/>
          <w:szCs w:val="18"/>
          <w:lang w:eastAsia="zh-TW" w:bidi="th-TH"/>
        </w:rPr>
      </w:pPr>
      <w:r w:rsidRPr="00F96A36">
        <w:rPr>
          <w:rFonts w:eastAsia="Calibri" w:cs="Times New Roman"/>
          <w:iCs/>
          <w:szCs w:val="18"/>
          <w:lang w:eastAsia="zh-TW" w:bidi="th-TH"/>
        </w:rPr>
        <w:t>Nairobi Ministerial Decisions on agriculture:</w:t>
      </w:r>
    </w:p>
    <w:p w14:paraId="13A01B00" w14:textId="77777777" w:rsidR="00442E76" w:rsidRPr="00F96A36" w:rsidRDefault="00442E76" w:rsidP="00442E76">
      <w:pPr>
        <w:numPr>
          <w:ilvl w:val="1"/>
          <w:numId w:val="20"/>
        </w:numPr>
        <w:autoSpaceDE w:val="0"/>
        <w:autoSpaceDN w:val="0"/>
        <w:adjustRightInd w:val="0"/>
        <w:rPr>
          <w:rFonts w:eastAsia="Calibri" w:cs="Times New Roman"/>
          <w:iCs/>
          <w:szCs w:val="18"/>
          <w:lang w:eastAsia="zh-TW" w:bidi="th-TH"/>
        </w:rPr>
      </w:pPr>
      <w:r w:rsidRPr="00F96A36">
        <w:rPr>
          <w:rFonts w:eastAsia="Calibri" w:cs="Times New Roman"/>
          <w:iCs/>
          <w:szCs w:val="18"/>
          <w:lang w:eastAsia="zh-TW" w:bidi="th-TH"/>
        </w:rPr>
        <w:t>Special Safeguard Mechanism for developing country Members – WT/</w:t>
      </w:r>
      <w:proofErr w:type="gramStart"/>
      <w:r w:rsidRPr="00F96A36">
        <w:rPr>
          <w:rFonts w:eastAsia="Calibri" w:cs="Times New Roman"/>
          <w:iCs/>
          <w:szCs w:val="18"/>
          <w:lang w:eastAsia="zh-TW" w:bidi="th-TH"/>
        </w:rPr>
        <w:t>MIN(</w:t>
      </w:r>
      <w:proofErr w:type="gramEnd"/>
      <w:r w:rsidRPr="00F96A36">
        <w:rPr>
          <w:rFonts w:eastAsia="Calibri" w:cs="Times New Roman"/>
          <w:iCs/>
          <w:szCs w:val="18"/>
          <w:lang w:eastAsia="zh-TW" w:bidi="th-TH"/>
        </w:rPr>
        <w:t>15)/43</w:t>
      </w:r>
    </w:p>
    <w:p w14:paraId="00389357" w14:textId="77777777" w:rsidR="00442E76" w:rsidRPr="00F96A36" w:rsidRDefault="00442E76" w:rsidP="00442E76">
      <w:pPr>
        <w:numPr>
          <w:ilvl w:val="1"/>
          <w:numId w:val="20"/>
        </w:numPr>
        <w:autoSpaceDE w:val="0"/>
        <w:autoSpaceDN w:val="0"/>
        <w:adjustRightInd w:val="0"/>
        <w:rPr>
          <w:rFonts w:eastAsia="Calibri" w:cs="Times New Roman"/>
          <w:iCs/>
          <w:szCs w:val="18"/>
          <w:lang w:eastAsia="zh-TW" w:bidi="th-TH"/>
        </w:rPr>
      </w:pPr>
      <w:r w:rsidRPr="00F96A36">
        <w:rPr>
          <w:rFonts w:eastAsia="Calibri" w:cs="Times New Roman"/>
          <w:iCs/>
          <w:szCs w:val="18"/>
          <w:lang w:eastAsia="zh-TW" w:bidi="th-TH"/>
        </w:rPr>
        <w:t>Public Stockholding for Food Security Purposes - WT/</w:t>
      </w:r>
      <w:proofErr w:type="gramStart"/>
      <w:r w:rsidRPr="00F96A36">
        <w:rPr>
          <w:rFonts w:eastAsia="Calibri" w:cs="Times New Roman"/>
          <w:iCs/>
          <w:szCs w:val="18"/>
          <w:lang w:eastAsia="zh-TW" w:bidi="th-TH"/>
        </w:rPr>
        <w:t>MIN(</w:t>
      </w:r>
      <w:proofErr w:type="gramEnd"/>
      <w:r w:rsidRPr="00F96A36">
        <w:rPr>
          <w:rFonts w:eastAsia="Calibri" w:cs="Times New Roman"/>
          <w:iCs/>
          <w:szCs w:val="18"/>
          <w:lang w:eastAsia="zh-TW" w:bidi="th-TH"/>
        </w:rPr>
        <w:t>15)/44</w:t>
      </w:r>
    </w:p>
    <w:p w14:paraId="157916E6" w14:textId="77777777" w:rsidR="00442E76" w:rsidRPr="00F96A36" w:rsidRDefault="00442E76" w:rsidP="00442E76">
      <w:pPr>
        <w:numPr>
          <w:ilvl w:val="1"/>
          <w:numId w:val="20"/>
        </w:numPr>
        <w:autoSpaceDE w:val="0"/>
        <w:autoSpaceDN w:val="0"/>
        <w:adjustRightInd w:val="0"/>
        <w:rPr>
          <w:rFonts w:eastAsia="Calibri" w:cs="Times New Roman"/>
          <w:iCs/>
          <w:szCs w:val="18"/>
          <w:lang w:eastAsia="zh-TW" w:bidi="th-TH"/>
        </w:rPr>
      </w:pPr>
      <w:r w:rsidRPr="00F96A36">
        <w:rPr>
          <w:rFonts w:eastAsia="Calibri" w:cs="Times New Roman"/>
          <w:iCs/>
          <w:szCs w:val="18"/>
          <w:lang w:eastAsia="zh-TW" w:bidi="th-TH"/>
        </w:rPr>
        <w:t>Export Competition - WT/</w:t>
      </w:r>
      <w:proofErr w:type="gramStart"/>
      <w:r w:rsidRPr="00F96A36">
        <w:rPr>
          <w:rFonts w:eastAsia="Calibri" w:cs="Times New Roman"/>
          <w:iCs/>
          <w:szCs w:val="18"/>
          <w:lang w:eastAsia="zh-TW" w:bidi="th-TH"/>
        </w:rPr>
        <w:t>MIN(</w:t>
      </w:r>
      <w:proofErr w:type="gramEnd"/>
      <w:r w:rsidRPr="00F96A36">
        <w:rPr>
          <w:rFonts w:eastAsia="Calibri" w:cs="Times New Roman"/>
          <w:iCs/>
          <w:szCs w:val="18"/>
          <w:lang w:eastAsia="zh-TW" w:bidi="th-TH"/>
        </w:rPr>
        <w:t>15)/45</w:t>
      </w:r>
    </w:p>
    <w:p w14:paraId="61702210" w14:textId="77777777" w:rsidR="00442E76" w:rsidRPr="00F96A36" w:rsidRDefault="00442E76" w:rsidP="00442E76">
      <w:pPr>
        <w:numPr>
          <w:ilvl w:val="1"/>
          <w:numId w:val="20"/>
        </w:numPr>
        <w:autoSpaceDE w:val="0"/>
        <w:autoSpaceDN w:val="0"/>
        <w:adjustRightInd w:val="0"/>
        <w:rPr>
          <w:rFonts w:eastAsia="Calibri" w:cs="Times New Roman"/>
          <w:iCs/>
          <w:szCs w:val="18"/>
          <w:lang w:eastAsia="zh-TW" w:bidi="th-TH"/>
        </w:rPr>
      </w:pPr>
      <w:r w:rsidRPr="00F96A36">
        <w:rPr>
          <w:rFonts w:eastAsia="Calibri" w:cs="Times New Roman"/>
          <w:iCs/>
          <w:szCs w:val="18"/>
          <w:lang w:eastAsia="zh-TW" w:bidi="th-TH"/>
        </w:rPr>
        <w:t>Cotton - WT/</w:t>
      </w:r>
      <w:proofErr w:type="gramStart"/>
      <w:r w:rsidRPr="00F96A36">
        <w:rPr>
          <w:rFonts w:eastAsia="Calibri" w:cs="Times New Roman"/>
          <w:iCs/>
          <w:szCs w:val="18"/>
          <w:lang w:eastAsia="zh-TW" w:bidi="th-TH"/>
        </w:rPr>
        <w:t>MIN(</w:t>
      </w:r>
      <w:proofErr w:type="gramEnd"/>
      <w:r w:rsidRPr="00F96A36">
        <w:rPr>
          <w:rFonts w:eastAsia="Calibri" w:cs="Times New Roman"/>
          <w:iCs/>
          <w:szCs w:val="18"/>
          <w:lang w:eastAsia="zh-TW" w:bidi="th-TH"/>
        </w:rPr>
        <w:t>15)/46</w:t>
      </w:r>
    </w:p>
    <w:p w14:paraId="280FC9C8" w14:textId="38F230F3" w:rsidR="002C30D2" w:rsidRPr="00F96A36" w:rsidRDefault="002C30D2" w:rsidP="002C30D2">
      <w:pPr>
        <w:numPr>
          <w:ilvl w:val="0"/>
          <w:numId w:val="20"/>
        </w:numPr>
        <w:autoSpaceDE w:val="0"/>
        <w:autoSpaceDN w:val="0"/>
        <w:adjustRightInd w:val="0"/>
        <w:rPr>
          <w:rFonts w:eastAsia="Calibri" w:cs="Times New Roman"/>
          <w:iCs/>
          <w:szCs w:val="18"/>
          <w:lang w:eastAsia="zh-TW" w:bidi="th-TH"/>
        </w:rPr>
      </w:pPr>
      <w:r w:rsidRPr="00F96A36">
        <w:rPr>
          <w:rFonts w:eastAsia="Calibri" w:cs="Times New Roman"/>
          <w:iCs/>
          <w:szCs w:val="18"/>
          <w:lang w:eastAsia="zh-TW" w:bidi="th-TH"/>
        </w:rPr>
        <w:t>Elements and Processes for a Possible Outcome in Agriculture at MC12, Report by the Chairman of the Committee on Agriculture in Special Session to the Trade Negotiation Committee – JOB/AG/180</w:t>
      </w:r>
    </w:p>
    <w:p w14:paraId="25D7A3FA" w14:textId="1F26A189" w:rsidR="00442E76" w:rsidRPr="00F96A36" w:rsidRDefault="00442E76" w:rsidP="00442E76">
      <w:pPr>
        <w:numPr>
          <w:ilvl w:val="0"/>
          <w:numId w:val="20"/>
        </w:numPr>
        <w:autoSpaceDE w:val="0"/>
        <w:autoSpaceDN w:val="0"/>
        <w:adjustRightInd w:val="0"/>
        <w:rPr>
          <w:rFonts w:eastAsia="Calibri" w:cs="Times New Roman"/>
          <w:iCs/>
          <w:szCs w:val="18"/>
          <w:lang w:eastAsia="zh-TW" w:bidi="th-TH"/>
        </w:rPr>
      </w:pPr>
      <w:bookmarkStart w:id="1" w:name="_Hlk51945552"/>
      <w:r w:rsidRPr="00F96A36">
        <w:rPr>
          <w:rFonts w:eastAsia="Calibri" w:cs="Times New Roman"/>
          <w:iCs/>
          <w:szCs w:val="18"/>
          <w:lang w:eastAsia="zh-TW" w:bidi="th-TH"/>
        </w:rPr>
        <w:t xml:space="preserve">Report by the Chairman of the Committee on Agriculture in Special Session to the Trade Negotiation Committee – </w:t>
      </w:r>
      <w:r w:rsidR="00F57453" w:rsidRPr="00F96A36">
        <w:rPr>
          <w:rFonts w:eastAsia="Calibri" w:cs="Times New Roman"/>
          <w:iCs/>
          <w:szCs w:val="18"/>
          <w:lang w:eastAsia="zh-TW" w:bidi="th-TH"/>
        </w:rPr>
        <w:t>JOB</w:t>
      </w:r>
      <w:r w:rsidRPr="00F96A36">
        <w:rPr>
          <w:rFonts w:eastAsia="Calibri" w:cs="Times New Roman"/>
          <w:iCs/>
          <w:szCs w:val="18"/>
          <w:lang w:eastAsia="zh-TW" w:bidi="th-TH"/>
        </w:rPr>
        <w:t>/AG/</w:t>
      </w:r>
      <w:r w:rsidR="00F57453" w:rsidRPr="00F96A36">
        <w:rPr>
          <w:rFonts w:eastAsia="Calibri" w:cs="Times New Roman"/>
          <w:iCs/>
          <w:szCs w:val="18"/>
          <w:lang w:eastAsia="zh-TW" w:bidi="th-TH"/>
        </w:rPr>
        <w:t>183</w:t>
      </w:r>
    </w:p>
    <w:bookmarkEnd w:id="1"/>
    <w:p w14:paraId="5CBA638B" w14:textId="74C0CA24" w:rsidR="00442E76" w:rsidRPr="00F96A36" w:rsidRDefault="003A4275" w:rsidP="00442E76">
      <w:pPr>
        <w:numPr>
          <w:ilvl w:val="0"/>
          <w:numId w:val="20"/>
        </w:numPr>
        <w:autoSpaceDE w:val="0"/>
        <w:autoSpaceDN w:val="0"/>
        <w:adjustRightInd w:val="0"/>
        <w:rPr>
          <w:rFonts w:eastAsia="Calibri" w:cs="Times New Roman"/>
          <w:iCs/>
          <w:szCs w:val="18"/>
          <w:lang w:eastAsia="zh-TW" w:bidi="th-TH"/>
        </w:rPr>
      </w:pPr>
      <w:r w:rsidRPr="00F96A36">
        <w:rPr>
          <w:rFonts w:eastAsia="Calibri" w:cs="Times New Roman"/>
          <w:iCs/>
          <w:szCs w:val="18"/>
          <w:lang w:eastAsia="zh-TW" w:bidi="th-TH"/>
        </w:rPr>
        <w:t xml:space="preserve">Implications of COVID-19 and Continuity of the COA-SS Negotiations, Assessment by the Chairman, Ambassador John Ronald </w:t>
      </w:r>
      <w:proofErr w:type="spellStart"/>
      <w:r w:rsidRPr="00F96A36">
        <w:rPr>
          <w:rFonts w:eastAsia="Calibri" w:cs="Times New Roman"/>
          <w:iCs/>
          <w:szCs w:val="18"/>
          <w:lang w:eastAsia="zh-TW" w:bidi="th-TH"/>
        </w:rPr>
        <w:t>Dipchandra</w:t>
      </w:r>
      <w:proofErr w:type="spellEnd"/>
      <w:r w:rsidRPr="00F96A36">
        <w:rPr>
          <w:rFonts w:eastAsia="Calibri" w:cs="Times New Roman"/>
          <w:iCs/>
          <w:szCs w:val="18"/>
          <w:lang w:eastAsia="zh-TW" w:bidi="th-TH"/>
        </w:rPr>
        <w:t xml:space="preserve"> Ford, JOB/AG/187</w:t>
      </w:r>
    </w:p>
    <w:p w14:paraId="01AA5724" w14:textId="31F7C5A0" w:rsidR="002C30D2" w:rsidRPr="00F96A36" w:rsidRDefault="00442E76" w:rsidP="004D3526">
      <w:pPr>
        <w:numPr>
          <w:ilvl w:val="0"/>
          <w:numId w:val="20"/>
        </w:numPr>
        <w:autoSpaceDE w:val="0"/>
        <w:autoSpaceDN w:val="0"/>
        <w:adjustRightInd w:val="0"/>
        <w:jc w:val="left"/>
        <w:rPr>
          <w:rFonts w:eastAsia="Calibri" w:cs="Times New Roman"/>
          <w:szCs w:val="18"/>
        </w:rPr>
      </w:pPr>
      <w:r w:rsidRPr="00F96A36">
        <w:rPr>
          <w:rFonts w:eastAsia="Calibri" w:cs="Times New Roman"/>
          <w:szCs w:val="18"/>
          <w:lang w:eastAsia="zh-TW" w:bidi="th-TH"/>
        </w:rPr>
        <w:t xml:space="preserve">WTO </w:t>
      </w:r>
      <w:proofErr w:type="spellStart"/>
      <w:r w:rsidRPr="00F96A36">
        <w:rPr>
          <w:rFonts w:eastAsia="Calibri" w:cs="Times New Roman"/>
          <w:szCs w:val="18"/>
          <w:lang w:eastAsia="zh-TW" w:bidi="th-TH"/>
        </w:rPr>
        <w:t>ELearning</w:t>
      </w:r>
      <w:proofErr w:type="spellEnd"/>
      <w:r w:rsidRPr="00F96A36">
        <w:rPr>
          <w:rFonts w:eastAsia="Calibri" w:cs="Times New Roman"/>
          <w:szCs w:val="18"/>
          <w:lang w:eastAsia="zh-TW" w:bidi="th-TH"/>
        </w:rPr>
        <w:t>: Agriculture in the WT</w:t>
      </w:r>
      <w:r w:rsidR="004D3526" w:rsidRPr="00F96A36">
        <w:rPr>
          <w:rFonts w:eastAsia="Calibri" w:cs="Times New Roman"/>
          <w:szCs w:val="18"/>
          <w:lang w:eastAsia="zh-TW" w:bidi="th-TH"/>
        </w:rPr>
        <w:t>O</w:t>
      </w:r>
    </w:p>
    <w:p w14:paraId="4A6685AA" w14:textId="5A22A68B" w:rsidR="001116F7" w:rsidRPr="00F96A36" w:rsidRDefault="001116F7" w:rsidP="001116F7">
      <w:pPr>
        <w:rPr>
          <w:szCs w:val="18"/>
        </w:rPr>
      </w:pPr>
    </w:p>
    <w:p w14:paraId="7E5C0FE3" w14:textId="2CDA7F29" w:rsidR="001116F7" w:rsidRPr="00F96A36" w:rsidRDefault="001116F7" w:rsidP="001116F7">
      <w:pPr>
        <w:jc w:val="center"/>
        <w:rPr>
          <w:szCs w:val="18"/>
        </w:rPr>
      </w:pPr>
      <w:r w:rsidRPr="00F96A36">
        <w:rPr>
          <w:b/>
          <w:szCs w:val="18"/>
        </w:rPr>
        <w:t>__________</w:t>
      </w:r>
    </w:p>
    <w:sectPr w:rsidR="001116F7" w:rsidRPr="00F96A36" w:rsidSect="002A15FB">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4645B" w14:textId="77777777" w:rsidR="00445807" w:rsidRDefault="00445807" w:rsidP="00ED54E0">
      <w:r>
        <w:separator/>
      </w:r>
    </w:p>
  </w:endnote>
  <w:endnote w:type="continuationSeparator" w:id="0">
    <w:p w14:paraId="6C0FD40D" w14:textId="77777777" w:rsidR="00445807" w:rsidRDefault="00445807"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84255" w14:textId="77777777" w:rsidR="00445807" w:rsidRDefault="00445807" w:rsidP="00ED54E0">
      <w:r>
        <w:separator/>
      </w:r>
    </w:p>
  </w:footnote>
  <w:footnote w:type="continuationSeparator" w:id="0">
    <w:p w14:paraId="30B4FE33" w14:textId="77777777" w:rsidR="00445807" w:rsidRDefault="00445807" w:rsidP="00ED5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DA22DB"/>
    <w:multiLevelType w:val="hybridMultilevel"/>
    <w:tmpl w:val="D176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02501"/>
    <w:multiLevelType w:val="hybridMultilevel"/>
    <w:tmpl w:val="CFB8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56604"/>
    <w:multiLevelType w:val="hybridMultilevel"/>
    <w:tmpl w:val="342CD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C70F480">
      <w:numFmt w:val="bullet"/>
      <w:lvlText w:val="-"/>
      <w:lvlJc w:val="left"/>
      <w:pPr>
        <w:ind w:left="2160" w:hanging="360"/>
      </w:pPr>
      <w:rPr>
        <w:rFonts w:ascii="Verdana" w:eastAsiaTheme="minorHAnsi" w:hAnsi="Verdana" w:cstheme="minorBid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CC52177C"/>
    <w:numStyleLink w:val="LegalHeadings"/>
  </w:abstractNum>
  <w:abstractNum w:abstractNumId="16"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7"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 w:numId="18">
    <w:abstractNumId w:val="13"/>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88"/>
    <w:rsid w:val="000106E0"/>
    <w:rsid w:val="000111BB"/>
    <w:rsid w:val="00022C0F"/>
    <w:rsid w:val="000272F6"/>
    <w:rsid w:val="00030B71"/>
    <w:rsid w:val="00037AC4"/>
    <w:rsid w:val="000423BF"/>
    <w:rsid w:val="000A1EF6"/>
    <w:rsid w:val="000A4945"/>
    <w:rsid w:val="000B31E1"/>
    <w:rsid w:val="000F122A"/>
    <w:rsid w:val="001116F7"/>
    <w:rsid w:val="0011356B"/>
    <w:rsid w:val="00115412"/>
    <w:rsid w:val="00124A47"/>
    <w:rsid w:val="0013337F"/>
    <w:rsid w:val="00182B84"/>
    <w:rsid w:val="001946F2"/>
    <w:rsid w:val="001C4D3B"/>
    <w:rsid w:val="001D0F5C"/>
    <w:rsid w:val="001E291F"/>
    <w:rsid w:val="001E65F9"/>
    <w:rsid w:val="001F3CEB"/>
    <w:rsid w:val="00207230"/>
    <w:rsid w:val="00207A7F"/>
    <w:rsid w:val="00227226"/>
    <w:rsid w:val="00227F30"/>
    <w:rsid w:val="00233408"/>
    <w:rsid w:val="00237417"/>
    <w:rsid w:val="0027067B"/>
    <w:rsid w:val="00291DE8"/>
    <w:rsid w:val="002A15FB"/>
    <w:rsid w:val="002A6940"/>
    <w:rsid w:val="002C30D2"/>
    <w:rsid w:val="002E249B"/>
    <w:rsid w:val="002E3451"/>
    <w:rsid w:val="002E6DF6"/>
    <w:rsid w:val="00304385"/>
    <w:rsid w:val="00311BE2"/>
    <w:rsid w:val="00320249"/>
    <w:rsid w:val="00342455"/>
    <w:rsid w:val="003572B4"/>
    <w:rsid w:val="003616BF"/>
    <w:rsid w:val="00363D25"/>
    <w:rsid w:val="00371F2B"/>
    <w:rsid w:val="00383F10"/>
    <w:rsid w:val="003A4275"/>
    <w:rsid w:val="00417739"/>
    <w:rsid w:val="00420168"/>
    <w:rsid w:val="00442E76"/>
    <w:rsid w:val="00445807"/>
    <w:rsid w:val="004551EC"/>
    <w:rsid w:val="00467032"/>
    <w:rsid w:val="0046754A"/>
    <w:rsid w:val="004853D3"/>
    <w:rsid w:val="004A31FF"/>
    <w:rsid w:val="004C7BD3"/>
    <w:rsid w:val="004D3526"/>
    <w:rsid w:val="004F203A"/>
    <w:rsid w:val="00507DA7"/>
    <w:rsid w:val="00512FF5"/>
    <w:rsid w:val="005336B8"/>
    <w:rsid w:val="00594D4B"/>
    <w:rsid w:val="005B04B9"/>
    <w:rsid w:val="005B68C7"/>
    <w:rsid w:val="005B7054"/>
    <w:rsid w:val="005C2958"/>
    <w:rsid w:val="005D0152"/>
    <w:rsid w:val="005D5981"/>
    <w:rsid w:val="005E21B1"/>
    <w:rsid w:val="005F30CB"/>
    <w:rsid w:val="00600A5B"/>
    <w:rsid w:val="00612644"/>
    <w:rsid w:val="006473E8"/>
    <w:rsid w:val="00674CCD"/>
    <w:rsid w:val="006A18DC"/>
    <w:rsid w:val="006D6742"/>
    <w:rsid w:val="006E3654"/>
    <w:rsid w:val="006F5826"/>
    <w:rsid w:val="006F71C1"/>
    <w:rsid w:val="00700181"/>
    <w:rsid w:val="007141CF"/>
    <w:rsid w:val="00717C76"/>
    <w:rsid w:val="00745146"/>
    <w:rsid w:val="0074635B"/>
    <w:rsid w:val="007577E3"/>
    <w:rsid w:val="00760DB3"/>
    <w:rsid w:val="00767204"/>
    <w:rsid w:val="007749F5"/>
    <w:rsid w:val="007C79F0"/>
    <w:rsid w:val="007E6507"/>
    <w:rsid w:val="007F2B8E"/>
    <w:rsid w:val="007F2DB0"/>
    <w:rsid w:val="007F4979"/>
    <w:rsid w:val="00801CBB"/>
    <w:rsid w:val="00807247"/>
    <w:rsid w:val="0081147B"/>
    <w:rsid w:val="00840C2B"/>
    <w:rsid w:val="00850889"/>
    <w:rsid w:val="008739FD"/>
    <w:rsid w:val="008843AA"/>
    <w:rsid w:val="008A7BB6"/>
    <w:rsid w:val="008E372C"/>
    <w:rsid w:val="009067C9"/>
    <w:rsid w:val="00906A49"/>
    <w:rsid w:val="00920FD4"/>
    <w:rsid w:val="00947C09"/>
    <w:rsid w:val="00985E34"/>
    <w:rsid w:val="009A6F54"/>
    <w:rsid w:val="009A7E67"/>
    <w:rsid w:val="009B0823"/>
    <w:rsid w:val="00A53DCE"/>
    <w:rsid w:val="00A54B3F"/>
    <w:rsid w:val="00A6057A"/>
    <w:rsid w:val="00A74017"/>
    <w:rsid w:val="00A97A1E"/>
    <w:rsid w:val="00AA332C"/>
    <w:rsid w:val="00AB6D5C"/>
    <w:rsid w:val="00AC24C7"/>
    <w:rsid w:val="00AC27F8"/>
    <w:rsid w:val="00AD4C72"/>
    <w:rsid w:val="00AD570D"/>
    <w:rsid w:val="00AE20ED"/>
    <w:rsid w:val="00AE2AEE"/>
    <w:rsid w:val="00B1394B"/>
    <w:rsid w:val="00B230EC"/>
    <w:rsid w:val="00B263F4"/>
    <w:rsid w:val="00B50DC4"/>
    <w:rsid w:val="00B55944"/>
    <w:rsid w:val="00B56EDC"/>
    <w:rsid w:val="00B67C16"/>
    <w:rsid w:val="00B70F19"/>
    <w:rsid w:val="00BB1F84"/>
    <w:rsid w:val="00BD5EFB"/>
    <w:rsid w:val="00BE5468"/>
    <w:rsid w:val="00C07C38"/>
    <w:rsid w:val="00C11EAC"/>
    <w:rsid w:val="00C305D7"/>
    <w:rsid w:val="00C30F2A"/>
    <w:rsid w:val="00C43456"/>
    <w:rsid w:val="00C65C0C"/>
    <w:rsid w:val="00C808FC"/>
    <w:rsid w:val="00CC5DCA"/>
    <w:rsid w:val="00CD7D97"/>
    <w:rsid w:val="00CE3EE6"/>
    <w:rsid w:val="00CE4BA1"/>
    <w:rsid w:val="00CF21A7"/>
    <w:rsid w:val="00D000C7"/>
    <w:rsid w:val="00D16CAA"/>
    <w:rsid w:val="00D27B74"/>
    <w:rsid w:val="00D52A9D"/>
    <w:rsid w:val="00D55AAD"/>
    <w:rsid w:val="00D747AE"/>
    <w:rsid w:val="00D9226C"/>
    <w:rsid w:val="00DA20BD"/>
    <w:rsid w:val="00DA51AB"/>
    <w:rsid w:val="00DD1CC1"/>
    <w:rsid w:val="00DE50DB"/>
    <w:rsid w:val="00DF6AE1"/>
    <w:rsid w:val="00E46FD5"/>
    <w:rsid w:val="00E502D9"/>
    <w:rsid w:val="00E544BB"/>
    <w:rsid w:val="00E56545"/>
    <w:rsid w:val="00E85004"/>
    <w:rsid w:val="00E960EE"/>
    <w:rsid w:val="00EA5D4F"/>
    <w:rsid w:val="00EB6C56"/>
    <w:rsid w:val="00EB6F21"/>
    <w:rsid w:val="00EC08B4"/>
    <w:rsid w:val="00ED2327"/>
    <w:rsid w:val="00ED372E"/>
    <w:rsid w:val="00ED54E0"/>
    <w:rsid w:val="00F000B9"/>
    <w:rsid w:val="00F01C13"/>
    <w:rsid w:val="00F11174"/>
    <w:rsid w:val="00F32397"/>
    <w:rsid w:val="00F34988"/>
    <w:rsid w:val="00F40595"/>
    <w:rsid w:val="00F57453"/>
    <w:rsid w:val="00F96A36"/>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C94F"/>
  <w15:chartTrackingRefBased/>
  <w15:docId w15:val="{DC6C38BD-8FED-46EB-ABA1-65958378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character" w:styleId="UnresolvedMention">
    <w:name w:val="Unresolved Mention"/>
    <w:basedOn w:val="DefaultParagraphFont"/>
    <w:uiPriority w:val="99"/>
    <w:semiHidden/>
    <w:unhideWhenUsed/>
    <w:rsid w:val="00717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0676">
      <w:bodyDiv w:val="1"/>
      <w:marLeft w:val="0"/>
      <w:marRight w:val="0"/>
      <w:marTop w:val="0"/>
      <w:marBottom w:val="0"/>
      <w:divBdr>
        <w:top w:val="none" w:sz="0" w:space="0" w:color="auto"/>
        <w:left w:val="none" w:sz="0" w:space="0" w:color="auto"/>
        <w:bottom w:val="none" w:sz="0" w:space="0" w:color="auto"/>
        <w:right w:val="none" w:sz="0" w:space="0" w:color="auto"/>
      </w:divBdr>
      <w:divsChild>
        <w:div w:id="263535523">
          <w:marLeft w:val="0"/>
          <w:marRight w:val="0"/>
          <w:marTop w:val="0"/>
          <w:marBottom w:val="0"/>
          <w:divBdr>
            <w:top w:val="none" w:sz="0" w:space="0" w:color="auto"/>
            <w:left w:val="none" w:sz="0" w:space="0" w:color="auto"/>
            <w:bottom w:val="none" w:sz="0" w:space="0" w:color="auto"/>
            <w:right w:val="none" w:sz="0" w:space="0" w:color="auto"/>
          </w:divBdr>
          <w:divsChild>
            <w:div w:id="1350985949">
              <w:marLeft w:val="0"/>
              <w:marRight w:val="0"/>
              <w:marTop w:val="0"/>
              <w:marBottom w:val="0"/>
              <w:divBdr>
                <w:top w:val="none" w:sz="0" w:space="0" w:color="auto"/>
                <w:left w:val="none" w:sz="0" w:space="0" w:color="auto"/>
                <w:bottom w:val="none" w:sz="0" w:space="0" w:color="auto"/>
                <w:right w:val="none" w:sz="0" w:space="0" w:color="auto"/>
              </w:divBdr>
              <w:divsChild>
                <w:div w:id="710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0653">
      <w:bodyDiv w:val="1"/>
      <w:marLeft w:val="0"/>
      <w:marRight w:val="0"/>
      <w:marTop w:val="0"/>
      <w:marBottom w:val="0"/>
      <w:divBdr>
        <w:top w:val="none" w:sz="0" w:space="0" w:color="auto"/>
        <w:left w:val="none" w:sz="0" w:space="0" w:color="auto"/>
        <w:bottom w:val="none" w:sz="0" w:space="0" w:color="auto"/>
        <w:right w:val="none" w:sz="0" w:space="0" w:color="auto"/>
      </w:divBdr>
      <w:divsChild>
        <w:div w:id="1160730878">
          <w:marLeft w:val="0"/>
          <w:marRight w:val="0"/>
          <w:marTop w:val="0"/>
          <w:marBottom w:val="0"/>
          <w:divBdr>
            <w:top w:val="none" w:sz="0" w:space="0" w:color="auto"/>
            <w:left w:val="none" w:sz="0" w:space="0" w:color="auto"/>
            <w:bottom w:val="none" w:sz="0" w:space="0" w:color="auto"/>
            <w:right w:val="none" w:sz="0" w:space="0" w:color="auto"/>
          </w:divBdr>
          <w:divsChild>
            <w:div w:id="699207779">
              <w:marLeft w:val="0"/>
              <w:marRight w:val="0"/>
              <w:marTop w:val="0"/>
              <w:marBottom w:val="0"/>
              <w:divBdr>
                <w:top w:val="none" w:sz="0" w:space="0" w:color="auto"/>
                <w:left w:val="none" w:sz="0" w:space="0" w:color="auto"/>
                <w:bottom w:val="none" w:sz="0" w:space="0" w:color="auto"/>
                <w:right w:val="none" w:sz="0" w:space="0" w:color="auto"/>
              </w:divBdr>
              <w:divsChild>
                <w:div w:id="3726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6951">
      <w:bodyDiv w:val="1"/>
      <w:marLeft w:val="0"/>
      <w:marRight w:val="0"/>
      <w:marTop w:val="0"/>
      <w:marBottom w:val="0"/>
      <w:divBdr>
        <w:top w:val="none" w:sz="0" w:space="0" w:color="auto"/>
        <w:left w:val="none" w:sz="0" w:space="0" w:color="auto"/>
        <w:bottom w:val="none" w:sz="0" w:space="0" w:color="auto"/>
        <w:right w:val="none" w:sz="0" w:space="0" w:color="auto"/>
      </w:divBdr>
    </w:div>
    <w:div w:id="1039739719">
      <w:bodyDiv w:val="1"/>
      <w:marLeft w:val="0"/>
      <w:marRight w:val="0"/>
      <w:marTop w:val="0"/>
      <w:marBottom w:val="0"/>
      <w:divBdr>
        <w:top w:val="none" w:sz="0" w:space="0" w:color="auto"/>
        <w:left w:val="none" w:sz="0" w:space="0" w:color="auto"/>
        <w:bottom w:val="none" w:sz="0" w:space="0" w:color="auto"/>
        <w:right w:val="none" w:sz="0" w:space="0" w:color="auto"/>
      </w:divBdr>
      <w:divsChild>
        <w:div w:id="1377656877">
          <w:marLeft w:val="0"/>
          <w:marRight w:val="0"/>
          <w:marTop w:val="0"/>
          <w:marBottom w:val="0"/>
          <w:divBdr>
            <w:top w:val="none" w:sz="0" w:space="0" w:color="auto"/>
            <w:left w:val="none" w:sz="0" w:space="0" w:color="auto"/>
            <w:bottom w:val="none" w:sz="0" w:space="0" w:color="auto"/>
            <w:right w:val="none" w:sz="0" w:space="0" w:color="auto"/>
          </w:divBdr>
          <w:divsChild>
            <w:div w:id="1877547382">
              <w:marLeft w:val="0"/>
              <w:marRight w:val="0"/>
              <w:marTop w:val="0"/>
              <w:marBottom w:val="0"/>
              <w:divBdr>
                <w:top w:val="none" w:sz="0" w:space="0" w:color="auto"/>
                <w:left w:val="none" w:sz="0" w:space="0" w:color="auto"/>
                <w:bottom w:val="none" w:sz="0" w:space="0" w:color="auto"/>
                <w:right w:val="none" w:sz="0" w:space="0" w:color="auto"/>
              </w:divBdr>
              <w:divsChild>
                <w:div w:id="7481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to.org/english/res_e/booksp_e/agric_agreement_series_3_e.pdf"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 Stefania</dc:creator>
  <cp:keywords/>
  <dc:description/>
  <cp:lastModifiedBy>Brouillaud, Nadine</cp:lastModifiedBy>
  <cp:revision>3</cp:revision>
  <dcterms:created xsi:type="dcterms:W3CDTF">2020-09-30T13:15:00Z</dcterms:created>
  <dcterms:modified xsi:type="dcterms:W3CDTF">2020-09-30T13:24:00Z</dcterms:modified>
</cp:coreProperties>
</file>