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0C9E" w14:textId="77777777" w:rsidR="006E0AFC" w:rsidRPr="003B2834" w:rsidRDefault="006E0AFC" w:rsidP="006E0AFC">
      <w:pPr>
        <w:jc w:val="center"/>
        <w:rPr>
          <w:rFonts w:ascii="Garamond" w:hAnsi="Garamond"/>
          <w:b/>
        </w:rPr>
      </w:pPr>
      <w:bookmarkStart w:id="0" w:name="_Hlk506237431"/>
      <w:bookmarkStart w:id="1" w:name="_Hlk506241842"/>
      <w:bookmarkStart w:id="2" w:name="_GoBack"/>
      <w:bookmarkEnd w:id="2"/>
      <w:r w:rsidRPr="003B2834">
        <w:rPr>
          <w:rFonts w:ascii="Garamond" w:hAnsi="Garamond"/>
          <w:b/>
          <w:i/>
          <w:noProof/>
          <w:lang w:val="en-US"/>
        </w:rPr>
        <w:drawing>
          <wp:inline distT="0" distB="0" distL="0" distR="0" wp14:anchorId="590C0060" wp14:editId="3C775A50">
            <wp:extent cx="1257300" cy="838200"/>
            <wp:effectExtent l="0" t="0" r="12700" b="0"/>
            <wp:docPr id="2" name="Picture 1" descr="trapca logo tw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pca logo tw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D081" w14:textId="77777777" w:rsidR="006E0AFC" w:rsidRPr="003B2834" w:rsidRDefault="006E0AFC" w:rsidP="006E0AFC">
      <w:pPr>
        <w:jc w:val="center"/>
        <w:outlineLvl w:val="0"/>
        <w:rPr>
          <w:rFonts w:ascii="Garamond" w:hAnsi="Garamond"/>
          <w:b/>
          <w:sz w:val="2"/>
          <w:szCs w:val="2"/>
        </w:rPr>
      </w:pPr>
    </w:p>
    <w:p w14:paraId="6A4B981A" w14:textId="04EC3A88" w:rsidR="006E0AFC" w:rsidRPr="003B2834" w:rsidRDefault="006E0AFC" w:rsidP="00AE47A3">
      <w:pPr>
        <w:jc w:val="center"/>
        <w:outlineLvl w:val="0"/>
        <w:rPr>
          <w:rFonts w:ascii="Garamond" w:hAnsi="Garamond"/>
          <w:b/>
        </w:rPr>
      </w:pPr>
      <w:r w:rsidRPr="003B2834">
        <w:rPr>
          <w:rFonts w:ascii="Garamond" w:hAnsi="Garamond"/>
          <w:b/>
        </w:rPr>
        <w:t xml:space="preserve">COURSE TITLE: </w:t>
      </w:r>
      <w:r w:rsidR="0022424E" w:rsidRPr="003B2834">
        <w:rPr>
          <w:rFonts w:ascii="Garamond" w:hAnsi="Garamond"/>
          <w:b/>
        </w:rPr>
        <w:t>LEGAL FOUNDATIONS OF TRADE AND TRADE POLICY</w:t>
      </w:r>
    </w:p>
    <w:p w14:paraId="1A920C41" w14:textId="758E1DAA" w:rsidR="006E0AFC" w:rsidRPr="003B2834" w:rsidRDefault="006E0AFC" w:rsidP="00AE47A3">
      <w:pPr>
        <w:jc w:val="center"/>
        <w:outlineLvl w:val="0"/>
        <w:rPr>
          <w:rFonts w:ascii="Garamond" w:hAnsi="Garamond"/>
          <w:b/>
          <w:i/>
        </w:rPr>
      </w:pPr>
      <w:r w:rsidRPr="003B2834">
        <w:rPr>
          <w:rFonts w:ascii="Garamond" w:hAnsi="Garamond"/>
          <w:b/>
        </w:rPr>
        <w:t>Programme: MSc in International Trade Policy and Trade Law</w:t>
      </w:r>
    </w:p>
    <w:p w14:paraId="19770C89" w14:textId="3777494F" w:rsidR="006E0AFC" w:rsidRPr="003B2834" w:rsidRDefault="006E0AFC" w:rsidP="00AE47A3">
      <w:pPr>
        <w:jc w:val="center"/>
        <w:outlineLvl w:val="0"/>
      </w:pPr>
      <w:r w:rsidRPr="003B2834">
        <w:rPr>
          <w:rFonts w:ascii="Garamond" w:hAnsi="Garamond"/>
          <w:b/>
          <w:bCs/>
        </w:rPr>
        <w:t>Course Code: TRP 502</w:t>
      </w:r>
      <w:bookmarkEnd w:id="0"/>
      <w:bookmarkEnd w:id="1"/>
    </w:p>
    <w:p w14:paraId="0594BA87" w14:textId="69BAE592" w:rsidR="006E0AFC" w:rsidRPr="003B2834" w:rsidRDefault="004934A5" w:rsidP="006E0AFC">
      <w:pPr>
        <w:rPr>
          <w:rFonts w:ascii="Garamond" w:hAnsi="Garamond"/>
          <w:b/>
          <w:bCs/>
        </w:rPr>
      </w:pPr>
      <w:r w:rsidRPr="003B2834">
        <w:rPr>
          <w:rFonts w:ascii="Garamond" w:hAnsi="Garamond"/>
          <w:b/>
        </w:rPr>
        <w:t>SYLLABUS</w:t>
      </w:r>
    </w:p>
    <w:p w14:paraId="35C47462" w14:textId="77777777" w:rsidR="00945164" w:rsidRPr="003B2834" w:rsidRDefault="00945164" w:rsidP="00945164">
      <w:pPr>
        <w:pStyle w:val="Heading2"/>
        <w:rPr>
          <w:rFonts w:ascii="Garamond" w:hAnsi="Garamond"/>
          <w:b/>
          <w:bCs/>
          <w:i/>
          <w:color w:val="000000" w:themeColor="text1"/>
          <w:sz w:val="24"/>
        </w:rPr>
      </w:pPr>
      <w:r w:rsidRPr="003B2834">
        <w:rPr>
          <w:rFonts w:ascii="Garamond" w:hAnsi="Garamond"/>
          <w:b/>
          <w:color w:val="000000" w:themeColor="text1"/>
          <w:sz w:val="24"/>
        </w:rPr>
        <w:t xml:space="preserve">Format </w:t>
      </w:r>
    </w:p>
    <w:p w14:paraId="4CB194F0" w14:textId="77777777" w:rsidR="00945164" w:rsidRPr="003B2834" w:rsidRDefault="00945164" w:rsidP="00945164">
      <w:pPr>
        <w:pStyle w:val="Heading2"/>
        <w:rPr>
          <w:rFonts w:ascii="Garamond" w:hAnsi="Garamond"/>
          <w:b/>
          <w:bCs/>
          <w:i/>
          <w:color w:val="000000"/>
          <w:sz w:val="24"/>
        </w:rPr>
      </w:pPr>
      <w:r w:rsidRPr="003B2834">
        <w:rPr>
          <w:rFonts w:ascii="Garamond" w:hAnsi="Garamond"/>
          <w:color w:val="000000"/>
          <w:sz w:val="24"/>
        </w:rPr>
        <w:t>The module will be delivered through:</w:t>
      </w:r>
    </w:p>
    <w:p w14:paraId="53ABA403" w14:textId="77777777" w:rsidR="00945164" w:rsidRPr="003B2834" w:rsidRDefault="00945164" w:rsidP="00945164">
      <w:pPr>
        <w:pStyle w:val="Heading2"/>
        <w:keepNext w:val="0"/>
        <w:keepLines w:val="0"/>
        <w:numPr>
          <w:ilvl w:val="0"/>
          <w:numId w:val="10"/>
        </w:numPr>
        <w:spacing w:before="0" w:line="240" w:lineRule="auto"/>
        <w:ind w:hanging="357"/>
        <w:rPr>
          <w:rFonts w:ascii="Garamond" w:hAnsi="Garamond"/>
          <w:b/>
          <w:bCs/>
          <w:i/>
          <w:color w:val="000000" w:themeColor="text1"/>
          <w:sz w:val="24"/>
        </w:rPr>
      </w:pPr>
      <w:r w:rsidRPr="003B2834">
        <w:rPr>
          <w:rFonts w:ascii="Garamond" w:hAnsi="Garamond"/>
          <w:color w:val="000000" w:themeColor="text1"/>
          <w:sz w:val="24"/>
        </w:rPr>
        <w:t xml:space="preserve">Off-site pre-session study and assignment to be handed in.  (Assignment already provided by </w:t>
      </w:r>
      <w:r w:rsidRPr="003B2834">
        <w:rPr>
          <w:rFonts w:ascii="Garamond" w:hAnsi="Garamond"/>
          <w:color w:val="FF0000"/>
          <w:sz w:val="24"/>
        </w:rPr>
        <w:t>trapca</w:t>
      </w:r>
      <w:r w:rsidRPr="003B2834">
        <w:rPr>
          <w:rFonts w:ascii="Garamond" w:hAnsi="Garamond"/>
          <w:color w:val="000000" w:themeColor="text1"/>
          <w:sz w:val="24"/>
        </w:rPr>
        <w:t>).</w:t>
      </w:r>
    </w:p>
    <w:p w14:paraId="7ABFE559" w14:textId="77777777" w:rsidR="00945164" w:rsidRPr="003B2834" w:rsidRDefault="00945164" w:rsidP="00945164">
      <w:pPr>
        <w:pStyle w:val="Heading2"/>
        <w:keepNext w:val="0"/>
        <w:keepLines w:val="0"/>
        <w:numPr>
          <w:ilvl w:val="0"/>
          <w:numId w:val="10"/>
        </w:numPr>
        <w:spacing w:before="0" w:line="240" w:lineRule="auto"/>
        <w:ind w:hanging="357"/>
        <w:jc w:val="both"/>
        <w:rPr>
          <w:rFonts w:ascii="Garamond" w:hAnsi="Garamond"/>
          <w:b/>
          <w:bCs/>
          <w:i/>
          <w:color w:val="000000"/>
          <w:sz w:val="24"/>
        </w:rPr>
      </w:pPr>
      <w:r w:rsidRPr="003B2834">
        <w:rPr>
          <w:rFonts w:ascii="Garamond" w:hAnsi="Garamond"/>
          <w:color w:val="000000"/>
          <w:sz w:val="24"/>
        </w:rPr>
        <w:t xml:space="preserve">On-site session teaching to take place at the </w:t>
      </w:r>
      <w:r w:rsidRPr="003B2834">
        <w:rPr>
          <w:rFonts w:ascii="Garamond" w:hAnsi="Garamond"/>
          <w:color w:val="FF0000"/>
          <w:sz w:val="24"/>
        </w:rPr>
        <w:t>trapca</w:t>
      </w:r>
      <w:r w:rsidRPr="003B2834">
        <w:rPr>
          <w:rFonts w:ascii="Garamond" w:hAnsi="Garamond"/>
          <w:color w:val="000000"/>
          <w:sz w:val="24"/>
        </w:rPr>
        <w:t>/ESAMI campus, Arusha, Tanzania.</w:t>
      </w:r>
    </w:p>
    <w:p w14:paraId="4158455E" w14:textId="42061277" w:rsidR="00945164" w:rsidRPr="00730F47" w:rsidRDefault="004934A5" w:rsidP="00AE47A3">
      <w:pPr>
        <w:pStyle w:val="Heading2"/>
        <w:keepNext w:val="0"/>
        <w:keepLines w:val="0"/>
        <w:numPr>
          <w:ilvl w:val="0"/>
          <w:numId w:val="10"/>
        </w:numPr>
        <w:spacing w:before="0" w:line="240" w:lineRule="auto"/>
        <w:ind w:hanging="357"/>
        <w:rPr>
          <w:rFonts w:ascii="Garamond" w:hAnsi="Garamond"/>
          <w:b/>
          <w:bCs/>
          <w:i/>
          <w:color w:val="000000"/>
          <w:sz w:val="24"/>
        </w:rPr>
      </w:pPr>
      <w:r w:rsidRPr="00730F47">
        <w:rPr>
          <w:rFonts w:ascii="Garamond" w:hAnsi="Garamond"/>
          <w:bCs/>
          <w:color w:val="000000"/>
          <w:sz w:val="24"/>
        </w:rPr>
        <w:t>Two on-site assignments will be given to participants (one each week).</w:t>
      </w:r>
    </w:p>
    <w:p w14:paraId="7269EC14" w14:textId="77777777" w:rsidR="004934A5" w:rsidRPr="00AE47A3" w:rsidRDefault="004934A5" w:rsidP="00945164">
      <w:pPr>
        <w:pStyle w:val="Heading2"/>
        <w:keepNext w:val="0"/>
        <w:keepLines w:val="0"/>
        <w:numPr>
          <w:ilvl w:val="0"/>
          <w:numId w:val="10"/>
        </w:numPr>
        <w:spacing w:before="0" w:line="240" w:lineRule="auto"/>
        <w:ind w:hanging="357"/>
        <w:rPr>
          <w:rFonts w:ascii="Garamond" w:hAnsi="Garamond"/>
          <w:b/>
          <w:bCs/>
          <w:i/>
          <w:color w:val="000000"/>
          <w:sz w:val="24"/>
        </w:rPr>
      </w:pPr>
      <w:r w:rsidRPr="00563A53">
        <w:rPr>
          <w:rFonts w:ascii="Garamond" w:hAnsi="Garamond"/>
          <w:color w:val="000000"/>
          <w:sz w:val="24"/>
        </w:rPr>
        <w:t xml:space="preserve">One post-session assignment will be given </w:t>
      </w:r>
    </w:p>
    <w:p w14:paraId="6492BFA9" w14:textId="77777777" w:rsidR="00945164" w:rsidRPr="00563A53" w:rsidRDefault="004934A5" w:rsidP="00945164">
      <w:pPr>
        <w:pStyle w:val="Heading2"/>
        <w:keepNext w:val="0"/>
        <w:keepLines w:val="0"/>
        <w:numPr>
          <w:ilvl w:val="0"/>
          <w:numId w:val="10"/>
        </w:numPr>
        <w:spacing w:before="0" w:line="240" w:lineRule="auto"/>
        <w:ind w:hanging="357"/>
        <w:rPr>
          <w:rFonts w:ascii="Garamond" w:hAnsi="Garamond"/>
          <w:b/>
          <w:bCs/>
          <w:i/>
          <w:color w:val="000000"/>
          <w:sz w:val="24"/>
        </w:rPr>
      </w:pPr>
      <w:bookmarkStart w:id="3" w:name="_Hlk506238186"/>
      <w:r w:rsidRPr="00C56F93">
        <w:rPr>
          <w:rFonts w:ascii="Garamond" w:hAnsi="Garamond"/>
          <w:bCs/>
          <w:color w:val="000000"/>
          <w:sz w:val="24"/>
        </w:rPr>
        <w:t>Two examinations will be given</w:t>
      </w:r>
      <w:r>
        <w:rPr>
          <w:rFonts w:ascii="Garamond" w:hAnsi="Garamond"/>
          <w:bCs/>
          <w:color w:val="000000"/>
          <w:sz w:val="24"/>
        </w:rPr>
        <w:t xml:space="preserve"> (</w:t>
      </w:r>
      <w:r w:rsidRPr="00C56F93">
        <w:rPr>
          <w:rFonts w:ascii="Garamond" w:hAnsi="Garamond"/>
          <w:bCs/>
          <w:color w:val="000000"/>
          <w:sz w:val="24"/>
        </w:rPr>
        <w:t>on</w:t>
      </w:r>
      <w:r>
        <w:rPr>
          <w:rFonts w:ascii="Garamond" w:hAnsi="Garamond"/>
          <w:bCs/>
          <w:color w:val="000000"/>
          <w:sz w:val="24"/>
        </w:rPr>
        <w:t>e</w:t>
      </w:r>
      <w:r w:rsidRPr="00C56F93">
        <w:rPr>
          <w:rFonts w:ascii="Garamond" w:hAnsi="Garamond"/>
          <w:bCs/>
          <w:color w:val="000000"/>
          <w:sz w:val="24"/>
        </w:rPr>
        <w:t xml:space="preserve"> </w:t>
      </w:r>
      <w:r>
        <w:rPr>
          <w:rFonts w:ascii="Garamond" w:hAnsi="Garamond"/>
          <w:bCs/>
          <w:color w:val="000000"/>
          <w:sz w:val="24"/>
        </w:rPr>
        <w:t>each end-of-week)</w:t>
      </w:r>
      <w:bookmarkEnd w:id="3"/>
      <w:r w:rsidRPr="00C56F93">
        <w:rPr>
          <w:rFonts w:ascii="Garamond" w:hAnsi="Garamond"/>
          <w:bCs/>
          <w:color w:val="000000"/>
          <w:sz w:val="24"/>
        </w:rPr>
        <w:t>.</w:t>
      </w:r>
    </w:p>
    <w:p w14:paraId="77635FD6" w14:textId="77777777" w:rsidR="00945164" w:rsidRPr="00AE47A3" w:rsidRDefault="00945164" w:rsidP="006E0AFC">
      <w:pPr>
        <w:rPr>
          <w:rFonts w:ascii="Garamond" w:hAnsi="Garamond"/>
          <w:b/>
          <w:bCs/>
          <w:sz w:val="12"/>
          <w:szCs w:val="12"/>
        </w:rPr>
      </w:pPr>
    </w:p>
    <w:p w14:paraId="3A609A57" w14:textId="3609DBE6" w:rsidR="004934A5" w:rsidRPr="00AE47A3" w:rsidRDefault="00BC4F1D" w:rsidP="004934A5">
      <w:pPr>
        <w:rPr>
          <w:rFonts w:ascii="Garamond" w:hAnsi="Garamond"/>
          <w:b/>
          <w:bCs/>
        </w:rPr>
      </w:pPr>
      <w:r w:rsidRPr="00AE47A3">
        <w:rPr>
          <w:rFonts w:ascii="Garamond" w:hAnsi="Garamond"/>
          <w:b/>
          <w:bCs/>
        </w:rPr>
        <w:t>Instruction on Assessments</w:t>
      </w:r>
    </w:p>
    <w:p w14:paraId="57FED0E1" w14:textId="7DFF45CE" w:rsidR="004934A5" w:rsidRPr="00AE47A3" w:rsidRDefault="004934A5" w:rsidP="004934A5">
      <w:pPr>
        <w:rPr>
          <w:rFonts w:ascii="Garamond" w:hAnsi="Garamond"/>
          <w:bCs/>
        </w:rPr>
      </w:pPr>
      <w:r w:rsidRPr="00AE47A3">
        <w:rPr>
          <w:rFonts w:ascii="Garamond" w:hAnsi="Garamond"/>
          <w:b/>
          <w:bCs/>
        </w:rPr>
        <w:t>Pre-session assignment:</w:t>
      </w:r>
      <w:r w:rsidRPr="00AE47A3">
        <w:rPr>
          <w:rFonts w:ascii="Garamond" w:hAnsi="Garamond"/>
          <w:bCs/>
        </w:rPr>
        <w:t xml:space="preserve"> To be administered 4 weeks before the start of the module and to be submitted on the first day of the first week of the course.</w:t>
      </w:r>
    </w:p>
    <w:p w14:paraId="4CE4290A" w14:textId="3BA94C94" w:rsidR="004934A5" w:rsidRPr="00AE47A3" w:rsidRDefault="004934A5" w:rsidP="004934A5">
      <w:pPr>
        <w:rPr>
          <w:rFonts w:ascii="Garamond" w:hAnsi="Garamond"/>
          <w:bCs/>
        </w:rPr>
      </w:pPr>
      <w:r w:rsidRPr="00AE47A3">
        <w:rPr>
          <w:rFonts w:ascii="Garamond" w:hAnsi="Garamond"/>
          <w:b/>
          <w:bCs/>
        </w:rPr>
        <w:t>Onsite Assignment:</w:t>
      </w:r>
      <w:r w:rsidRPr="00AE47A3">
        <w:rPr>
          <w:rFonts w:ascii="Garamond" w:hAnsi="Garamond"/>
          <w:bCs/>
        </w:rPr>
        <w:t xml:space="preserve"> To be administered on Wednesday of </w:t>
      </w:r>
      <w:r w:rsidR="003B2834">
        <w:rPr>
          <w:rFonts w:ascii="Garamond" w:hAnsi="Garamond"/>
          <w:bCs/>
        </w:rPr>
        <w:t xml:space="preserve">each of the two </w:t>
      </w:r>
      <w:r w:rsidRPr="00AE47A3">
        <w:rPr>
          <w:rFonts w:ascii="Garamond" w:hAnsi="Garamond"/>
          <w:bCs/>
        </w:rPr>
        <w:t>week</w:t>
      </w:r>
      <w:r w:rsidR="003B2834">
        <w:rPr>
          <w:rFonts w:ascii="Garamond" w:hAnsi="Garamond"/>
          <w:bCs/>
        </w:rPr>
        <w:t>s</w:t>
      </w:r>
      <w:r w:rsidRPr="00AE47A3">
        <w:rPr>
          <w:rFonts w:ascii="Garamond" w:hAnsi="Garamond"/>
          <w:bCs/>
        </w:rPr>
        <w:t xml:space="preserve"> of the course.</w:t>
      </w:r>
      <w:r w:rsidR="003F1C44">
        <w:rPr>
          <w:rFonts w:ascii="Garamond" w:hAnsi="Garamond"/>
          <w:bCs/>
        </w:rPr>
        <w:t xml:space="preserve">  </w:t>
      </w:r>
    </w:p>
    <w:p w14:paraId="680739AD" w14:textId="77777777" w:rsidR="004934A5" w:rsidRPr="0031159E" w:rsidRDefault="004934A5" w:rsidP="004934A5">
      <w:pPr>
        <w:rPr>
          <w:rFonts w:ascii="Garamond" w:hAnsi="Garamond"/>
          <w:bCs/>
          <w:u w:val="single"/>
        </w:rPr>
      </w:pPr>
      <w:r w:rsidRPr="00AE47A3">
        <w:rPr>
          <w:rFonts w:ascii="Garamond" w:hAnsi="Garamond"/>
          <w:b/>
          <w:bCs/>
        </w:rPr>
        <w:t>Post Session Assignment:</w:t>
      </w:r>
      <w:r w:rsidRPr="00AE47A3">
        <w:rPr>
          <w:rFonts w:ascii="Garamond" w:hAnsi="Garamond"/>
          <w:bCs/>
        </w:rPr>
        <w:t xml:space="preserve"> To be administered on Thursday of the second week of the course</w:t>
      </w:r>
      <w:r w:rsidRPr="0031159E">
        <w:rPr>
          <w:rFonts w:ascii="Garamond" w:hAnsi="Garamond"/>
          <w:bCs/>
          <w:u w:val="single"/>
        </w:rPr>
        <w:t xml:space="preserve">.  </w:t>
      </w:r>
    </w:p>
    <w:p w14:paraId="783C81E7" w14:textId="77777777" w:rsidR="00945164" w:rsidRPr="00AE47A3" w:rsidRDefault="00945164" w:rsidP="006E0AFC">
      <w:pPr>
        <w:rPr>
          <w:rFonts w:ascii="Garamond" w:hAnsi="Garamond"/>
          <w:b/>
          <w:bCs/>
          <w:sz w:val="10"/>
          <w:szCs w:val="10"/>
        </w:rPr>
      </w:pPr>
    </w:p>
    <w:p w14:paraId="01E556E8" w14:textId="598AF76B" w:rsidR="006E0AFC" w:rsidRPr="00F75F19" w:rsidRDefault="006E0AFC" w:rsidP="006E0AFC">
      <w:pPr>
        <w:rPr>
          <w:rFonts w:ascii="Garamond" w:hAnsi="Garamond"/>
          <w:b/>
          <w:bCs/>
        </w:rPr>
      </w:pPr>
      <w:r w:rsidRPr="00385D10">
        <w:rPr>
          <w:rFonts w:ascii="Garamond" w:hAnsi="Garamond"/>
          <w:b/>
          <w:bCs/>
          <w:u w:val="single"/>
        </w:rPr>
        <w:t xml:space="preserve">Key Texts </w:t>
      </w:r>
    </w:p>
    <w:p w14:paraId="7F05409F" w14:textId="4342AB6C" w:rsidR="006E0AFC" w:rsidRPr="00AE47A3" w:rsidRDefault="006E0AFC" w:rsidP="00AE47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Garamond" w:hAnsi="Garamond"/>
          <w:bCs/>
          <w:sz w:val="24"/>
          <w:szCs w:val="24"/>
        </w:rPr>
      </w:pPr>
      <w:r w:rsidRPr="00AE47A3">
        <w:rPr>
          <w:rFonts w:ascii="Garamond" w:hAnsi="Garamond"/>
          <w:bCs/>
          <w:sz w:val="24"/>
          <w:szCs w:val="24"/>
        </w:rPr>
        <w:t xml:space="preserve">Peter van den </w:t>
      </w:r>
      <w:proofErr w:type="spellStart"/>
      <w:r w:rsidRPr="00AE47A3">
        <w:rPr>
          <w:rFonts w:ascii="Garamond" w:hAnsi="Garamond"/>
          <w:bCs/>
          <w:sz w:val="24"/>
          <w:szCs w:val="24"/>
        </w:rPr>
        <w:t>Bossche</w:t>
      </w:r>
      <w:proofErr w:type="spellEnd"/>
      <w:r w:rsidRPr="00AE47A3">
        <w:rPr>
          <w:rFonts w:ascii="Garamond" w:hAnsi="Garamond"/>
          <w:bCs/>
          <w:sz w:val="24"/>
          <w:szCs w:val="24"/>
        </w:rPr>
        <w:t xml:space="preserve"> (2017) </w:t>
      </w:r>
      <w:r w:rsidRPr="00AE47A3">
        <w:rPr>
          <w:rFonts w:ascii="Garamond" w:hAnsi="Garamond"/>
          <w:bCs/>
          <w:i/>
          <w:iCs/>
          <w:sz w:val="24"/>
          <w:szCs w:val="24"/>
        </w:rPr>
        <w:t>The Law and Policy of the World Trade Organization</w:t>
      </w:r>
      <w:r w:rsidRPr="00AE47A3">
        <w:rPr>
          <w:rFonts w:ascii="Garamond" w:hAnsi="Garamond"/>
          <w:bCs/>
          <w:sz w:val="24"/>
          <w:szCs w:val="24"/>
        </w:rPr>
        <w:t xml:space="preserve"> (4</w:t>
      </w:r>
      <w:r w:rsidRPr="00AE47A3">
        <w:rPr>
          <w:rFonts w:ascii="Garamond" w:hAnsi="Garamond"/>
          <w:bCs/>
          <w:sz w:val="24"/>
          <w:szCs w:val="24"/>
          <w:vertAlign w:val="superscript"/>
        </w:rPr>
        <w:t>th</w:t>
      </w:r>
      <w:r w:rsidRPr="00AE47A3">
        <w:rPr>
          <w:rFonts w:ascii="Garamond" w:hAnsi="Garamond"/>
          <w:bCs/>
          <w:sz w:val="24"/>
          <w:szCs w:val="24"/>
        </w:rPr>
        <w:t xml:space="preserve"> ed) Cambridge: Cambridge University Press.</w:t>
      </w:r>
    </w:p>
    <w:p w14:paraId="4946C7DC" w14:textId="60B170C3" w:rsidR="006E0AFC" w:rsidRPr="00AE47A3" w:rsidRDefault="006E0AFC" w:rsidP="00AE47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AE47A3">
        <w:rPr>
          <w:rFonts w:ascii="Garamond" w:hAnsi="Garamond"/>
          <w:sz w:val="24"/>
          <w:szCs w:val="24"/>
        </w:rPr>
        <w:t>Mitsuo</w:t>
      </w:r>
      <w:proofErr w:type="spellEnd"/>
      <w:r w:rsidRPr="00AE47A3">
        <w:rPr>
          <w:rFonts w:ascii="Garamond" w:hAnsi="Garamond"/>
          <w:sz w:val="24"/>
          <w:szCs w:val="24"/>
        </w:rPr>
        <w:t xml:space="preserve"> Matsushita, Thomas J. </w:t>
      </w:r>
      <w:proofErr w:type="spellStart"/>
      <w:r w:rsidRPr="00AE47A3">
        <w:rPr>
          <w:rFonts w:ascii="Garamond" w:hAnsi="Garamond"/>
          <w:sz w:val="24"/>
          <w:szCs w:val="24"/>
        </w:rPr>
        <w:t>Schoenbaum</w:t>
      </w:r>
      <w:proofErr w:type="spellEnd"/>
      <w:r w:rsidRPr="00AE47A3">
        <w:rPr>
          <w:rFonts w:ascii="Garamond" w:hAnsi="Garamond"/>
          <w:sz w:val="24"/>
          <w:szCs w:val="24"/>
        </w:rPr>
        <w:t xml:space="preserve"> &amp; Petros C. Mavroidis (201</w:t>
      </w:r>
      <w:r w:rsidR="00291F3A" w:rsidRPr="00AE47A3">
        <w:rPr>
          <w:rFonts w:ascii="Garamond" w:hAnsi="Garamond"/>
          <w:sz w:val="24"/>
          <w:szCs w:val="24"/>
        </w:rPr>
        <w:t>7</w:t>
      </w:r>
      <w:r w:rsidRPr="00AE47A3">
        <w:rPr>
          <w:rFonts w:ascii="Garamond" w:hAnsi="Garamond"/>
          <w:sz w:val="24"/>
          <w:szCs w:val="24"/>
        </w:rPr>
        <w:t xml:space="preserve">) </w:t>
      </w:r>
      <w:r w:rsidRPr="00AE47A3">
        <w:rPr>
          <w:rFonts w:ascii="Garamond" w:hAnsi="Garamond"/>
          <w:i/>
          <w:sz w:val="24"/>
          <w:szCs w:val="24"/>
        </w:rPr>
        <w:t xml:space="preserve">The World Trade Organization: Law, Practice and Policy, </w:t>
      </w:r>
      <w:r w:rsidRPr="00AE47A3">
        <w:rPr>
          <w:rFonts w:ascii="Garamond" w:hAnsi="Garamond"/>
          <w:sz w:val="24"/>
          <w:szCs w:val="24"/>
        </w:rPr>
        <w:t>Oxford: Oxford University Press</w:t>
      </w:r>
    </w:p>
    <w:p w14:paraId="3569E0C2" w14:textId="77777777" w:rsidR="003E3A59" w:rsidRPr="003E3A59" w:rsidRDefault="003E3A59" w:rsidP="003E3A59">
      <w:pPr>
        <w:spacing w:after="120"/>
        <w:ind w:left="720" w:hanging="720"/>
        <w:outlineLvl w:val="0"/>
        <w:rPr>
          <w:rFonts w:ascii="Garamond" w:eastAsiaTheme="minorEastAsia" w:hAnsi="Garamond"/>
          <w:b/>
          <w:lang w:eastAsia="en-GB"/>
        </w:rPr>
      </w:pPr>
      <w:r w:rsidRPr="003E3A59">
        <w:rPr>
          <w:rFonts w:ascii="Garamond" w:eastAsiaTheme="minorEastAsia" w:hAnsi="Garamond"/>
          <w:b/>
          <w:lang w:eastAsia="en-GB"/>
        </w:rPr>
        <w:lastRenderedPageBreak/>
        <w:t>Recommended literature:</w:t>
      </w:r>
    </w:p>
    <w:p w14:paraId="70BFE11A" w14:textId="123FD544" w:rsidR="00BC4F1D" w:rsidRPr="00AE47A3" w:rsidRDefault="00BC4F1D" w:rsidP="00AE47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AE47A3">
        <w:rPr>
          <w:rFonts w:ascii="Garamond" w:hAnsi="Garamond"/>
          <w:sz w:val="24"/>
          <w:szCs w:val="24"/>
        </w:rPr>
        <w:t xml:space="preserve">Michael J. </w:t>
      </w:r>
      <w:proofErr w:type="spellStart"/>
      <w:r w:rsidRPr="00AE47A3">
        <w:rPr>
          <w:rFonts w:ascii="Garamond" w:hAnsi="Garamond"/>
          <w:sz w:val="24"/>
          <w:szCs w:val="24"/>
        </w:rPr>
        <w:t>Treibilock</w:t>
      </w:r>
      <w:proofErr w:type="spellEnd"/>
      <w:r w:rsidRPr="00AE47A3">
        <w:rPr>
          <w:rFonts w:ascii="Garamond" w:hAnsi="Garamond"/>
          <w:sz w:val="24"/>
          <w:szCs w:val="24"/>
        </w:rPr>
        <w:t xml:space="preserve"> &amp; Robert </w:t>
      </w:r>
      <w:proofErr w:type="spellStart"/>
      <w:r w:rsidRPr="00AE47A3">
        <w:rPr>
          <w:rFonts w:ascii="Garamond" w:hAnsi="Garamond"/>
          <w:sz w:val="24"/>
          <w:szCs w:val="24"/>
        </w:rPr>
        <w:t>Howse</w:t>
      </w:r>
      <w:proofErr w:type="spellEnd"/>
      <w:r w:rsidRPr="00AE47A3">
        <w:rPr>
          <w:rFonts w:ascii="Garamond" w:hAnsi="Garamond"/>
          <w:sz w:val="24"/>
          <w:szCs w:val="24"/>
        </w:rPr>
        <w:t xml:space="preserve"> (2005) </w:t>
      </w:r>
      <w:r w:rsidRPr="00AE47A3">
        <w:rPr>
          <w:rFonts w:ascii="Garamond" w:hAnsi="Garamond"/>
          <w:i/>
          <w:sz w:val="24"/>
          <w:szCs w:val="24"/>
        </w:rPr>
        <w:t>The Regulation of International Trade</w:t>
      </w:r>
      <w:r w:rsidRPr="00AE47A3">
        <w:rPr>
          <w:rFonts w:ascii="Garamond" w:hAnsi="Garamond"/>
          <w:sz w:val="24"/>
          <w:szCs w:val="24"/>
        </w:rPr>
        <w:t>(3</w:t>
      </w:r>
      <w:r w:rsidRPr="00AE47A3">
        <w:rPr>
          <w:rFonts w:ascii="Garamond" w:hAnsi="Garamond"/>
          <w:sz w:val="24"/>
          <w:szCs w:val="24"/>
          <w:vertAlign w:val="superscript"/>
        </w:rPr>
        <w:t>rd</w:t>
      </w:r>
      <w:r w:rsidRPr="00AE47A3">
        <w:rPr>
          <w:rFonts w:ascii="Garamond" w:hAnsi="Garamond"/>
          <w:sz w:val="24"/>
          <w:szCs w:val="24"/>
        </w:rPr>
        <w:t xml:space="preserve"> ed) London &amp; New York: Routledge</w:t>
      </w:r>
    </w:p>
    <w:p w14:paraId="0C2B8368" w14:textId="77777777" w:rsidR="00BC4F1D" w:rsidRPr="00AE47A3" w:rsidRDefault="00BC4F1D" w:rsidP="00AE47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AE47A3">
        <w:rPr>
          <w:rFonts w:ascii="Garamond" w:hAnsi="Garamond"/>
          <w:sz w:val="24"/>
          <w:szCs w:val="24"/>
        </w:rPr>
        <w:t xml:space="preserve">James T. </w:t>
      </w:r>
      <w:proofErr w:type="spellStart"/>
      <w:r w:rsidRPr="00AE47A3">
        <w:rPr>
          <w:rFonts w:ascii="Garamond" w:hAnsi="Garamond"/>
          <w:sz w:val="24"/>
          <w:szCs w:val="24"/>
        </w:rPr>
        <w:t>Gathii</w:t>
      </w:r>
      <w:proofErr w:type="spellEnd"/>
      <w:r w:rsidRPr="00AE47A3">
        <w:rPr>
          <w:rFonts w:ascii="Garamond" w:hAnsi="Garamond"/>
          <w:sz w:val="24"/>
          <w:szCs w:val="24"/>
        </w:rPr>
        <w:t xml:space="preserve"> (2011) </w:t>
      </w:r>
      <w:r w:rsidRPr="00AE47A3">
        <w:rPr>
          <w:rFonts w:ascii="Garamond" w:hAnsi="Garamond"/>
          <w:i/>
          <w:sz w:val="24"/>
          <w:szCs w:val="24"/>
        </w:rPr>
        <w:t>African Regional Trade Agreements as Legal Regimes</w:t>
      </w:r>
      <w:r w:rsidRPr="00AE47A3">
        <w:rPr>
          <w:rFonts w:ascii="Garamond" w:hAnsi="Garamond"/>
          <w:sz w:val="24"/>
          <w:szCs w:val="24"/>
        </w:rPr>
        <w:t xml:space="preserve"> (1</w:t>
      </w:r>
      <w:r w:rsidRPr="00AE47A3">
        <w:rPr>
          <w:rFonts w:ascii="Garamond" w:hAnsi="Garamond"/>
          <w:sz w:val="24"/>
          <w:szCs w:val="24"/>
          <w:vertAlign w:val="superscript"/>
        </w:rPr>
        <w:t>st</w:t>
      </w:r>
      <w:r w:rsidRPr="00AE47A3">
        <w:rPr>
          <w:rFonts w:ascii="Garamond" w:hAnsi="Garamond"/>
          <w:sz w:val="24"/>
          <w:szCs w:val="24"/>
        </w:rPr>
        <w:t xml:space="preserve"> ed), </w:t>
      </w:r>
      <w:proofErr w:type="spellStart"/>
      <w:r w:rsidRPr="00AE47A3">
        <w:rPr>
          <w:rFonts w:ascii="Garamond" w:hAnsi="Garamond"/>
          <w:sz w:val="24"/>
          <w:szCs w:val="24"/>
        </w:rPr>
        <w:t>Cambrideg</w:t>
      </w:r>
      <w:proofErr w:type="spellEnd"/>
      <w:r w:rsidRPr="00AE47A3">
        <w:rPr>
          <w:rFonts w:ascii="Garamond" w:hAnsi="Garamond"/>
          <w:sz w:val="24"/>
          <w:szCs w:val="24"/>
        </w:rPr>
        <w:t xml:space="preserve"> University Press</w:t>
      </w:r>
    </w:p>
    <w:p w14:paraId="0A7AF88D" w14:textId="7141B995" w:rsidR="005700CE" w:rsidRPr="00AE47A3" w:rsidRDefault="005700CE" w:rsidP="00AE47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AE47A3">
        <w:rPr>
          <w:rFonts w:ascii="Garamond" w:hAnsi="Garamond"/>
          <w:sz w:val="24"/>
          <w:szCs w:val="24"/>
        </w:rPr>
        <w:t xml:space="preserve">Stefano </w:t>
      </w:r>
      <w:proofErr w:type="spellStart"/>
      <w:r w:rsidRPr="00AE47A3">
        <w:rPr>
          <w:rFonts w:ascii="Garamond" w:hAnsi="Garamond"/>
          <w:sz w:val="24"/>
          <w:szCs w:val="24"/>
        </w:rPr>
        <w:t>Inama</w:t>
      </w:r>
      <w:proofErr w:type="spellEnd"/>
      <w:r w:rsidRPr="00AE47A3">
        <w:rPr>
          <w:rFonts w:ascii="Garamond" w:hAnsi="Garamond"/>
          <w:sz w:val="24"/>
          <w:szCs w:val="24"/>
        </w:rPr>
        <w:t xml:space="preserve"> (2011). Rules of Origin in International Trade (Cambridge: Cambridge University Press)</w:t>
      </w:r>
    </w:p>
    <w:p w14:paraId="678346E5" w14:textId="77777777" w:rsidR="003653F8" w:rsidRDefault="003653F8" w:rsidP="003653F8">
      <w:pPr>
        <w:rPr>
          <w:b/>
        </w:rPr>
      </w:pPr>
    </w:p>
    <w:p w14:paraId="7838D07D" w14:textId="77777777" w:rsidR="003653F8" w:rsidRDefault="003653F8" w:rsidP="003653F8">
      <w:pPr>
        <w:rPr>
          <w:b/>
        </w:rPr>
      </w:pPr>
      <w:r>
        <w:rPr>
          <w:b/>
        </w:rPr>
        <w:t>PART B:  LECTURE PLAN AND REFERENCES</w:t>
      </w:r>
    </w:p>
    <w:p w14:paraId="36A3435F" w14:textId="77777777" w:rsidR="003653F8" w:rsidRDefault="003653F8" w:rsidP="003653F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Morning session between 9:00 and 13:00.</w:t>
      </w:r>
    </w:p>
    <w:p w14:paraId="305C6602" w14:textId="77777777" w:rsidR="003653F8" w:rsidRDefault="003653F8" w:rsidP="003653F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Afternoon session between 14:00 and 17:00</w:t>
      </w:r>
    </w:p>
    <w:p w14:paraId="63C2340A" w14:textId="77777777" w:rsidR="003653F8" w:rsidRDefault="003653F8" w:rsidP="003653F8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The course is based on interactive lectures, which implies that real-world examples/case studies and exercises from will be discussed in detail during lectures. </w:t>
      </w:r>
    </w:p>
    <w:p w14:paraId="2C535141" w14:textId="77777777" w:rsidR="003653F8" w:rsidRDefault="003653F8" w:rsidP="003653F8">
      <w:pPr>
        <w:pStyle w:val="BodyText"/>
        <w:jc w:val="both"/>
        <w:rPr>
          <w:b/>
        </w:rPr>
      </w:pPr>
    </w:p>
    <w:p w14:paraId="1360FA7D" w14:textId="77777777" w:rsidR="003653F8" w:rsidRDefault="003653F8" w:rsidP="003653F8">
      <w:pPr>
        <w:pStyle w:val="BodyText"/>
        <w:jc w:val="both"/>
        <w:rPr>
          <w:b/>
        </w:rPr>
      </w:pPr>
      <w:r>
        <w:rPr>
          <w:b/>
        </w:rPr>
        <w:t>Responsibilities</w:t>
      </w:r>
    </w:p>
    <w:p w14:paraId="0A765904" w14:textId="77777777" w:rsidR="003653F8" w:rsidRDefault="003653F8" w:rsidP="003653F8">
      <w:pPr>
        <w:pStyle w:val="BodyText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Week One:       </w:t>
      </w:r>
    </w:p>
    <w:p w14:paraId="69E2D35E" w14:textId="7941AC7E" w:rsidR="006E0AFC" w:rsidRPr="003653F8" w:rsidRDefault="003653F8" w:rsidP="003653F8">
      <w:pPr>
        <w:pStyle w:val="ListParagraph"/>
        <w:numPr>
          <w:ilvl w:val="0"/>
          <w:numId w:val="19"/>
        </w:numPr>
        <w:rPr>
          <w:rFonts w:ascii="Garamond" w:hAnsi="Garamond"/>
          <w:b/>
          <w:bCs/>
        </w:rPr>
      </w:pPr>
      <w:r w:rsidRPr="003653F8">
        <w:rPr>
          <w:b/>
        </w:rPr>
        <w:t>Week Two:</w:t>
      </w:r>
    </w:p>
    <w:p w14:paraId="4C4B0A97" w14:textId="77777777" w:rsidR="006E0AFC" w:rsidRPr="00AE47A3" w:rsidRDefault="006E0AFC" w:rsidP="00AE47A3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AE47A3">
        <w:rPr>
          <w:rFonts w:ascii="Garamond" w:hAnsi="Garamond"/>
          <w:b/>
          <w:bCs/>
          <w:u w:val="single"/>
        </w:rPr>
        <w:t>Lecture Plan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786"/>
        <w:gridCol w:w="6520"/>
        <w:gridCol w:w="2897"/>
      </w:tblGrid>
      <w:tr w:rsidR="006E0AFC" w:rsidRPr="00AE47A3" w14:paraId="710DEF67" w14:textId="77777777" w:rsidTr="00AE47A3">
        <w:tc>
          <w:tcPr>
            <w:tcW w:w="1462" w:type="dxa"/>
          </w:tcPr>
          <w:p w14:paraId="75E22C80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DAY</w:t>
            </w:r>
          </w:p>
        </w:tc>
        <w:tc>
          <w:tcPr>
            <w:tcW w:w="2786" w:type="dxa"/>
          </w:tcPr>
          <w:p w14:paraId="00D22F0D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BROAD COVERAGE</w:t>
            </w:r>
          </w:p>
        </w:tc>
        <w:tc>
          <w:tcPr>
            <w:tcW w:w="6520" w:type="dxa"/>
          </w:tcPr>
          <w:p w14:paraId="1A63C5A4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PARTICULAR COVERAGE</w:t>
            </w:r>
          </w:p>
          <w:p w14:paraId="00A1D5BD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97" w:type="dxa"/>
          </w:tcPr>
          <w:p w14:paraId="5B915244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 xml:space="preserve">PRIMARY READINGS </w:t>
            </w:r>
          </w:p>
        </w:tc>
      </w:tr>
      <w:tr w:rsidR="006E0AFC" w:rsidRPr="00AE47A3" w14:paraId="2DD26D14" w14:textId="77777777" w:rsidTr="00AE47A3">
        <w:trPr>
          <w:cantSplit/>
          <w:trHeight w:val="999"/>
        </w:trPr>
        <w:tc>
          <w:tcPr>
            <w:tcW w:w="1462" w:type="dxa"/>
          </w:tcPr>
          <w:p w14:paraId="3EA6374E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 xml:space="preserve">Mon </w:t>
            </w:r>
          </w:p>
          <w:p w14:paraId="09A492F7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Morning </w:t>
            </w:r>
          </w:p>
          <w:p w14:paraId="09A6C93A" w14:textId="77777777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8F4EF54" w14:textId="36A77260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AE47A3">
              <w:rPr>
                <w:rFonts w:ascii="Garamond" w:hAnsi="Garamond"/>
              </w:rPr>
              <w:t>09:00-10:30</w:t>
            </w:r>
          </w:p>
        </w:tc>
        <w:tc>
          <w:tcPr>
            <w:tcW w:w="2786" w:type="dxa"/>
          </w:tcPr>
          <w:p w14:paraId="114AA887" w14:textId="6520CBBE" w:rsidR="006E0AFC" w:rsidRPr="00AE47A3" w:rsidRDefault="006E0AFC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Pre-session assignment</w:t>
            </w:r>
            <w:r w:rsidR="00710A3B" w:rsidRPr="00AE47A3">
              <w:rPr>
                <w:rFonts w:ascii="Garamond" w:hAnsi="Garamond"/>
              </w:rPr>
              <w:t xml:space="preserve"> and Situating WTO Law under International Law</w:t>
            </w:r>
            <w:r w:rsidRPr="00AE47A3">
              <w:rPr>
                <w:rFonts w:ascii="Garamond" w:hAnsi="Garamond"/>
              </w:rPr>
              <w:t>.</w:t>
            </w:r>
          </w:p>
        </w:tc>
        <w:tc>
          <w:tcPr>
            <w:tcW w:w="6520" w:type="dxa"/>
          </w:tcPr>
          <w:p w14:paraId="451E5067" w14:textId="50DBAB49" w:rsidR="00710A3B" w:rsidRPr="00AE47A3" w:rsidRDefault="00BC4F1D" w:rsidP="00AE47A3">
            <w:pPr>
              <w:spacing w:after="0" w:line="36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Review of submitted and grade pre-session assignments</w:t>
            </w:r>
          </w:p>
          <w:p w14:paraId="07A69C86" w14:textId="1646E444" w:rsidR="001B01C2" w:rsidRPr="00AE47A3" w:rsidRDefault="00710A3B" w:rsidP="003B7A4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 xml:space="preserve">Review relationship of WTO Law with International law in general </w:t>
            </w:r>
          </w:p>
          <w:p w14:paraId="185C0C4F" w14:textId="4ABA918B" w:rsidR="006E0AFC" w:rsidRPr="00AE47A3" w:rsidRDefault="00710A3B" w:rsidP="003B7A4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Review relationship of WTO Law with and Domestic Laws and trade policy.</w:t>
            </w:r>
          </w:p>
        </w:tc>
        <w:tc>
          <w:tcPr>
            <w:tcW w:w="2897" w:type="dxa"/>
          </w:tcPr>
          <w:p w14:paraId="02F0EEE2" w14:textId="77777777" w:rsidR="00792CD5" w:rsidRPr="00AE47A3" w:rsidRDefault="00291F3A" w:rsidP="00AE47A3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 xml:space="preserve">17) </w:t>
            </w:r>
            <w:r w:rsidRPr="00BE3ECA">
              <w:rPr>
                <w:rFonts w:ascii="Garamond" w:hAnsi="Garamond"/>
                <w:i/>
              </w:rPr>
              <w:t>The World Trade Organization: Law, Practice and Policy Chapter 2</w:t>
            </w:r>
          </w:p>
          <w:p w14:paraId="7759099B" w14:textId="77E13112" w:rsidR="006E0AFC" w:rsidRPr="00AE47A3" w:rsidRDefault="00792CD5" w:rsidP="00AE47A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AE47A3">
              <w:rPr>
                <w:rFonts w:ascii="Garamond" w:hAnsi="Garamond"/>
                <w:i/>
              </w:rPr>
              <w:t xml:space="preserve"> </w:t>
            </w:r>
            <w:r w:rsidRPr="00AE47A3">
              <w:rPr>
                <w:rFonts w:ascii="Garamond" w:hAnsi="Garamond"/>
              </w:rPr>
              <w:t xml:space="preserve">Andrew Guzman and Joost </w:t>
            </w:r>
            <w:proofErr w:type="spellStart"/>
            <w:r w:rsidRPr="00AE47A3">
              <w:rPr>
                <w:rFonts w:ascii="Garamond" w:hAnsi="Garamond"/>
              </w:rPr>
              <w:t>Pauwelyn</w:t>
            </w:r>
            <w:proofErr w:type="spellEnd"/>
            <w:r w:rsidRPr="00BD1F7E">
              <w:rPr>
                <w:rFonts w:ascii="Garamond" w:hAnsi="Garamond"/>
              </w:rPr>
              <w:t>. (2</w:t>
            </w:r>
            <w:r w:rsidRPr="00AE47A3">
              <w:rPr>
                <w:rFonts w:ascii="Garamond" w:hAnsi="Garamond"/>
              </w:rPr>
              <w:t>0</w:t>
            </w:r>
            <w:r w:rsidRPr="00BD1F7E">
              <w:rPr>
                <w:rFonts w:ascii="Garamond" w:hAnsi="Garamond"/>
              </w:rPr>
              <w:t>1</w:t>
            </w:r>
            <w:r w:rsidRPr="00AE47A3">
              <w:rPr>
                <w:rFonts w:ascii="Garamond" w:hAnsi="Garamond"/>
              </w:rPr>
              <w:t>2</w:t>
            </w:r>
            <w:r w:rsidRPr="00BD1F7E">
              <w:rPr>
                <w:rFonts w:ascii="Garamond" w:hAnsi="Garamond"/>
                <w:i/>
              </w:rPr>
              <w:t>) International Trade Law.</w:t>
            </w:r>
            <w:r w:rsidRPr="00BE3ECA">
              <w:rPr>
                <w:rFonts w:ascii="Garamond" w:hAnsi="Garamond"/>
                <w:i/>
              </w:rPr>
              <w:t xml:space="preserve">  (Wolters Kluwer)</w:t>
            </w:r>
            <w:r w:rsidRPr="00AE47A3">
              <w:rPr>
                <w:rFonts w:ascii="Garamond" w:hAnsi="Garamond"/>
                <w:i/>
              </w:rPr>
              <w:t xml:space="preserve"> Chapter 3 </w:t>
            </w:r>
          </w:p>
        </w:tc>
      </w:tr>
      <w:tr w:rsidR="003627EF" w:rsidRPr="00AE47A3" w14:paraId="2B5EF56D" w14:textId="77777777" w:rsidTr="00AE47A3">
        <w:trPr>
          <w:cantSplit/>
          <w:trHeight w:val="911"/>
        </w:trPr>
        <w:tc>
          <w:tcPr>
            <w:tcW w:w="1462" w:type="dxa"/>
          </w:tcPr>
          <w:p w14:paraId="7CAF7626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lastRenderedPageBreak/>
              <w:t>11:00-13:00 hrs</w:t>
            </w:r>
          </w:p>
          <w:p w14:paraId="7254807E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786" w:type="dxa"/>
          </w:tcPr>
          <w:p w14:paraId="2ED2692C" w14:textId="3423D525" w:rsidR="003627EF" w:rsidRPr="00AE47A3" w:rsidRDefault="003627EF" w:rsidP="007C24C1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WTO Mechanisms for</w:t>
            </w:r>
            <w:r w:rsidR="007C24C1">
              <w:rPr>
                <w:rFonts w:ascii="Garamond" w:hAnsi="Garamond"/>
              </w:rPr>
              <w:t xml:space="preserve"> implementation, transparency and </w:t>
            </w:r>
            <w:r w:rsidRPr="00AE47A3">
              <w:rPr>
                <w:rFonts w:ascii="Garamond" w:hAnsi="Garamond"/>
              </w:rPr>
              <w:t xml:space="preserve">review </w:t>
            </w:r>
          </w:p>
        </w:tc>
        <w:tc>
          <w:tcPr>
            <w:tcW w:w="6520" w:type="dxa"/>
          </w:tcPr>
          <w:p w14:paraId="6084AB12" w14:textId="36351E74" w:rsidR="003627EF" w:rsidRPr="00AE47A3" w:rsidRDefault="003627EF" w:rsidP="00AE47A3">
            <w:pPr>
              <w:rPr>
                <w:rFonts w:ascii="Garamond" w:hAnsi="Garamond"/>
              </w:rPr>
            </w:pPr>
          </w:p>
          <w:p w14:paraId="67F56C1C" w14:textId="75A44FE1" w:rsidR="007C24C1" w:rsidRDefault="007C24C1" w:rsidP="00AE47A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Regular WTO Committee work – review of implementation of agreements </w:t>
            </w:r>
          </w:p>
          <w:p w14:paraId="3A231C45" w14:textId="0435F8EE" w:rsidR="007C24C1" w:rsidRDefault="007C24C1" w:rsidP="00AE47A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Specific Trade Concerns</w:t>
            </w:r>
            <w:r>
              <w:rPr>
                <w:rFonts w:ascii="Garamond" w:hAnsi="Garamond"/>
                <w:sz w:val="22"/>
                <w:szCs w:val="22"/>
              </w:rPr>
              <w:t xml:space="preserve"> (is a subset of the work of certain regular bodies)</w:t>
            </w:r>
          </w:p>
          <w:p w14:paraId="5CA3CA06" w14:textId="6847EB4E" w:rsidR="003627EF" w:rsidRPr="00AE47A3" w:rsidRDefault="003627EF" w:rsidP="00AE47A3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Accessions (review accession protocols)</w:t>
            </w:r>
            <w:r w:rsidR="007C24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197927" w14:textId="54FD02A6" w:rsidR="003627EF" w:rsidRPr="00AE47A3" w:rsidRDefault="003627EF" w:rsidP="00730F47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Trade Policy Review</w:t>
            </w:r>
            <w:r w:rsidR="003B2834">
              <w:rPr>
                <w:rFonts w:ascii="Garamond" w:hAnsi="Garamond"/>
                <w:sz w:val="22"/>
                <w:szCs w:val="22"/>
              </w:rPr>
              <w:t xml:space="preserve"> implementation issues</w:t>
            </w:r>
          </w:p>
        </w:tc>
        <w:tc>
          <w:tcPr>
            <w:tcW w:w="2897" w:type="dxa"/>
          </w:tcPr>
          <w:p w14:paraId="40C6F2D7" w14:textId="79598EC4" w:rsidR="003627EF" w:rsidRPr="00AE47A3" w:rsidRDefault="00BD1F7E" w:rsidP="00AE47A3">
            <w:pPr>
              <w:spacing w:after="0" w:line="240" w:lineRule="auto"/>
              <w:jc w:val="both"/>
              <w:rPr>
                <w:rFonts w:ascii="Garamond" w:hAnsi="Garamond"/>
                <w:bCs/>
                <w:color w:val="000000" w:themeColor="text1"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 xml:space="preserve">17) </w:t>
            </w:r>
            <w:r w:rsidRPr="00BE3ECA">
              <w:rPr>
                <w:rFonts w:ascii="Garamond" w:hAnsi="Garamond"/>
                <w:i/>
              </w:rPr>
              <w:t xml:space="preserve">The World Trade Organization: Law, Practice and Policy Chapter </w:t>
            </w:r>
            <w:r w:rsidRPr="00AE47A3">
              <w:rPr>
                <w:rFonts w:ascii="Garamond" w:hAnsi="Garamond"/>
                <w:i/>
              </w:rPr>
              <w:t>1</w:t>
            </w:r>
          </w:p>
        </w:tc>
      </w:tr>
      <w:tr w:rsidR="00886971" w:rsidRPr="00AE47A3" w14:paraId="289CE9E9" w14:textId="77777777" w:rsidTr="00AE47A3">
        <w:trPr>
          <w:cantSplit/>
          <w:trHeight w:val="1350"/>
        </w:trPr>
        <w:tc>
          <w:tcPr>
            <w:tcW w:w="1462" w:type="dxa"/>
          </w:tcPr>
          <w:p w14:paraId="74FA2FD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Afternoon</w:t>
            </w:r>
          </w:p>
          <w:p w14:paraId="16C6CA27" w14:textId="77777777" w:rsidR="00886971" w:rsidRPr="00AE47A3" w:rsidRDefault="00886971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14:00-17:00 hrs</w:t>
            </w:r>
          </w:p>
          <w:p w14:paraId="1E943A98" w14:textId="00FA1903" w:rsidR="00886971" w:rsidRPr="00AE47A3" w:rsidRDefault="00886971" w:rsidP="00B71DB5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</w:p>
          <w:p w14:paraId="3D0A0B65" w14:textId="6ECD7FFF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</w:p>
        </w:tc>
        <w:tc>
          <w:tcPr>
            <w:tcW w:w="2786" w:type="dxa"/>
          </w:tcPr>
          <w:p w14:paraId="5203C81C" w14:textId="0AD6E33B" w:rsidR="00886971" w:rsidRPr="00AE47A3" w:rsidRDefault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563F5D6" w14:textId="758CD10E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Non Discrimination: MFN and National Treatment</w:t>
            </w:r>
            <w:r w:rsidRPr="00AE47A3">
              <w:rPr>
                <w:rStyle w:val="FootnoteReference"/>
                <w:rFonts w:ascii="Garamond" w:hAnsi="Garamond"/>
              </w:rPr>
              <w:footnoteReference w:id="1"/>
            </w:r>
            <w:r w:rsidRPr="00AE47A3">
              <w:rPr>
                <w:rFonts w:ascii="Garamond" w:hAnsi="Garamond"/>
              </w:rPr>
              <w:br/>
            </w:r>
          </w:p>
        </w:tc>
        <w:tc>
          <w:tcPr>
            <w:tcW w:w="6520" w:type="dxa"/>
          </w:tcPr>
          <w:p w14:paraId="2BE43306" w14:textId="74B5C755" w:rsidR="00886971" w:rsidRPr="00AE47A3" w:rsidRDefault="00886971">
            <w:pPr>
              <w:spacing w:after="0" w:line="240" w:lineRule="auto"/>
              <w:rPr>
                <w:rFonts w:ascii="Garamond" w:hAnsi="Garamond" w:cs="Times"/>
              </w:rPr>
            </w:pPr>
          </w:p>
          <w:p w14:paraId="21E12D02" w14:textId="7B8B8F08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Legal analysis of MFN as reflected in the GATT, GATs, and TRIPs</w:t>
            </w:r>
          </w:p>
          <w:p w14:paraId="56885D66" w14:textId="33FB1CD2" w:rsidR="00886971" w:rsidRPr="00AE47A3" w:rsidRDefault="00886971" w:rsidP="0033561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Analysis and review of WTO rulings on the MFN principle and implications of the outcomes of WTO cases on MFN to LDCs and Sub-Saharan African Countries</w:t>
            </w:r>
          </w:p>
          <w:p w14:paraId="352ACFE4" w14:textId="506346B4" w:rsidR="00886971" w:rsidRPr="00AE47A3" w:rsidRDefault="00886971" w:rsidP="00AE47A3">
            <w:pPr>
              <w:pStyle w:val="ListParagraph"/>
              <w:jc w:val="both"/>
              <w:rPr>
                <w:rFonts w:ascii="Garamond" w:eastAsiaTheme="minorHAnsi" w:hAnsi="Garamond" w:cs="Times"/>
                <w:sz w:val="22"/>
                <w:szCs w:val="22"/>
                <w:lang w:val="en-GB"/>
              </w:rPr>
            </w:pPr>
          </w:p>
        </w:tc>
        <w:tc>
          <w:tcPr>
            <w:tcW w:w="2897" w:type="dxa"/>
          </w:tcPr>
          <w:p w14:paraId="4783DC08" w14:textId="589F5099" w:rsidR="00886971" w:rsidRPr="00AE47A3" w:rsidRDefault="0031159E" w:rsidP="00AE47A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(2017) </w:t>
            </w:r>
            <w:r w:rsidRPr="00BE3ECA">
              <w:rPr>
                <w:rFonts w:ascii="Garamond" w:hAnsi="Garamond"/>
                <w:bCs/>
                <w:i/>
                <w:iCs/>
              </w:rPr>
              <w:t>The Law and Policy of the World Trade Organization</w:t>
            </w:r>
            <w:r w:rsidRPr="00AE47A3">
              <w:rPr>
                <w:rFonts w:ascii="Garamond" w:hAnsi="Garamond"/>
                <w:bCs/>
                <w:i/>
                <w:iCs/>
              </w:rPr>
              <w:t>, Chapter 4</w:t>
            </w:r>
          </w:p>
        </w:tc>
      </w:tr>
      <w:tr w:rsidR="003627EF" w:rsidRPr="00AE47A3" w14:paraId="12A8AB97" w14:textId="77777777" w:rsidTr="00AE47A3">
        <w:trPr>
          <w:trHeight w:val="1273"/>
        </w:trPr>
        <w:tc>
          <w:tcPr>
            <w:tcW w:w="1462" w:type="dxa"/>
          </w:tcPr>
          <w:p w14:paraId="6C80E5EB" w14:textId="77777777" w:rsidR="003627EF" w:rsidRPr="00AE47A3" w:rsidRDefault="003627EF" w:rsidP="003627E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Tuesday</w:t>
            </w:r>
          </w:p>
          <w:p w14:paraId="28016308" w14:textId="77777777" w:rsidR="003627EF" w:rsidRPr="00AE47A3" w:rsidRDefault="003627EF" w:rsidP="003627EF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23366033" w14:textId="1911A1DA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13hrs</w:t>
            </w:r>
          </w:p>
        </w:tc>
        <w:tc>
          <w:tcPr>
            <w:tcW w:w="2786" w:type="dxa"/>
          </w:tcPr>
          <w:p w14:paraId="78153A3F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Non Discrimination: MFN and National Treatment</w:t>
            </w:r>
          </w:p>
        </w:tc>
        <w:tc>
          <w:tcPr>
            <w:tcW w:w="6520" w:type="dxa"/>
          </w:tcPr>
          <w:p w14:paraId="02D51339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 xml:space="preserve">Legal analysis of National Treatment Principle under WTO case law as reflected in the GATT, GATs, and TRIPs </w:t>
            </w:r>
          </w:p>
          <w:p w14:paraId="2838272F" w14:textId="1EAE882C" w:rsidR="00886971" w:rsidRPr="00AE47A3" w:rsidRDefault="00886971" w:rsidP="00AE47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Implications of the outcomes of WTO cases on the “national treatment” principle to LDCs and Sub-Saharan African countries</w:t>
            </w:r>
          </w:p>
          <w:p w14:paraId="02D5AB62" w14:textId="780F9A25" w:rsidR="003627EF" w:rsidRPr="00AE47A3" w:rsidRDefault="003627EF" w:rsidP="00AE47A3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2897" w:type="dxa"/>
          </w:tcPr>
          <w:p w14:paraId="5A1C81B4" w14:textId="50093E50" w:rsidR="003627EF" w:rsidRPr="00AE47A3" w:rsidRDefault="0013288B" w:rsidP="00AE47A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</w:t>
            </w:r>
            <w:r w:rsidRPr="00BE3ECA">
              <w:rPr>
                <w:rFonts w:ascii="Garamond" w:hAnsi="Garamond"/>
                <w:bCs/>
              </w:rPr>
              <w:t xml:space="preserve">17)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5</w:t>
            </w:r>
          </w:p>
        </w:tc>
      </w:tr>
      <w:tr w:rsidR="003627EF" w:rsidRPr="00AE47A3" w14:paraId="7C33B425" w14:textId="77777777" w:rsidTr="00AE47A3">
        <w:tc>
          <w:tcPr>
            <w:tcW w:w="1462" w:type="dxa"/>
          </w:tcPr>
          <w:p w14:paraId="6BCB7820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  <w:p w14:paraId="77CC4D45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73BD54C3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 – 17hrs</w:t>
            </w:r>
            <w:r w:rsidRPr="00AE47A3" w:rsidDel="0076235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2786" w:type="dxa"/>
          </w:tcPr>
          <w:p w14:paraId="4169B10E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Exceptions</w:t>
            </w:r>
          </w:p>
        </w:tc>
        <w:tc>
          <w:tcPr>
            <w:tcW w:w="6520" w:type="dxa"/>
          </w:tcPr>
          <w:p w14:paraId="74CAE2F7" w14:textId="77777777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Exceptions to the MFN and National Treatment Principles</w:t>
            </w:r>
          </w:p>
          <w:p w14:paraId="26721BB0" w14:textId="77777777" w:rsidR="003627EF" w:rsidRPr="00AE47A3" w:rsidRDefault="003627EF" w:rsidP="003356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General Exceptions: Art. XX GATT</w:t>
            </w:r>
          </w:p>
          <w:p w14:paraId="029CEF74" w14:textId="77777777" w:rsidR="003627EF" w:rsidRPr="00AE47A3" w:rsidRDefault="003627EF" w:rsidP="003356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Art. XXIV GATT, Enabling Clause, Art. IX GATT &amp; Art. V GATS</w:t>
            </w:r>
          </w:p>
          <w:p w14:paraId="32BBC0C4" w14:textId="3624BA82" w:rsidR="003627EF" w:rsidRPr="00AE47A3" w:rsidRDefault="003627EF" w:rsidP="00AE47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GSP (using LDCs relevant case studies)</w:t>
            </w:r>
          </w:p>
        </w:tc>
        <w:tc>
          <w:tcPr>
            <w:tcW w:w="2897" w:type="dxa"/>
          </w:tcPr>
          <w:p w14:paraId="73115D42" w14:textId="173497FC" w:rsidR="003627EF" w:rsidRPr="00AE47A3" w:rsidRDefault="0013288B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</w:t>
            </w:r>
            <w:r w:rsidRPr="00BE3ECA">
              <w:rPr>
                <w:rFonts w:ascii="Garamond" w:hAnsi="Garamond"/>
                <w:bCs/>
              </w:rPr>
              <w:t xml:space="preserve">17)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8-10</w:t>
            </w:r>
          </w:p>
        </w:tc>
      </w:tr>
      <w:tr w:rsidR="003627EF" w:rsidRPr="00AE47A3" w14:paraId="1CE6FE77" w14:textId="77777777" w:rsidTr="00AE47A3">
        <w:trPr>
          <w:trHeight w:val="1525"/>
        </w:trPr>
        <w:tc>
          <w:tcPr>
            <w:tcW w:w="1462" w:type="dxa"/>
          </w:tcPr>
          <w:p w14:paraId="6692E35A" w14:textId="32255B92" w:rsidR="003627EF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 xml:space="preserve">Wednesday </w:t>
            </w:r>
            <w:r w:rsidR="003627EF" w:rsidRPr="00AE47A3">
              <w:rPr>
                <w:rFonts w:ascii="Garamond" w:hAnsi="Garamond"/>
                <w:b/>
              </w:rPr>
              <w:t>Morning and Afternoon</w:t>
            </w:r>
          </w:p>
          <w:p w14:paraId="3A21903A" w14:textId="780541BC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</w:p>
        </w:tc>
        <w:tc>
          <w:tcPr>
            <w:tcW w:w="2786" w:type="dxa"/>
          </w:tcPr>
          <w:p w14:paraId="0017AF19" w14:textId="44F98194" w:rsidR="003627EF" w:rsidRPr="00AE47A3" w:rsidDel="000466E5" w:rsidRDefault="003627EF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Exceptions</w:t>
            </w:r>
          </w:p>
        </w:tc>
        <w:tc>
          <w:tcPr>
            <w:tcW w:w="6520" w:type="dxa"/>
          </w:tcPr>
          <w:p w14:paraId="6A71711D" w14:textId="77777777" w:rsidR="003627EF" w:rsidRPr="00AE47A3" w:rsidRDefault="003627EF" w:rsidP="003356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S&amp;DT</w:t>
            </w:r>
          </w:p>
          <w:p w14:paraId="1D0D588D" w14:textId="77777777" w:rsidR="003627EF" w:rsidRPr="00AE47A3" w:rsidRDefault="003627EF" w:rsidP="003356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Security Exceptions</w:t>
            </w:r>
          </w:p>
          <w:p w14:paraId="240AEC18" w14:textId="77777777" w:rsidR="003627EF" w:rsidRPr="00AE47A3" w:rsidRDefault="003627EF" w:rsidP="003356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Review of waiver schemes</w:t>
            </w:r>
          </w:p>
          <w:p w14:paraId="72D76AC6" w14:textId="04808D88" w:rsidR="003627EF" w:rsidRPr="00AE47A3" w:rsidRDefault="003627EF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 xml:space="preserve">Groups Case Studies on the </w:t>
            </w:r>
            <w:r w:rsidR="003B7A44" w:rsidRPr="00AE47A3">
              <w:rPr>
                <w:rFonts w:ascii="Garamond" w:hAnsi="Garamond"/>
              </w:rPr>
              <w:t>application</w:t>
            </w:r>
            <w:r w:rsidRPr="00AE47A3">
              <w:rPr>
                <w:rFonts w:ascii="Garamond" w:hAnsi="Garamond"/>
              </w:rPr>
              <w:t xml:space="preserve"> of MFN, NT and Exceptions drawn from case law and the implications of resulting outcomes on LDCs and Sub-Saharan African Countries</w:t>
            </w:r>
          </w:p>
        </w:tc>
        <w:tc>
          <w:tcPr>
            <w:tcW w:w="2897" w:type="dxa"/>
          </w:tcPr>
          <w:p w14:paraId="47337A48" w14:textId="0D1E0F05" w:rsidR="003627EF" w:rsidRPr="00AE47A3" w:rsidRDefault="003627EF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86971" w:rsidRPr="00AE47A3" w14:paraId="50FF9723" w14:textId="77777777" w:rsidTr="003627EF">
        <w:trPr>
          <w:trHeight w:val="360"/>
        </w:trPr>
        <w:tc>
          <w:tcPr>
            <w:tcW w:w="1462" w:type="dxa"/>
          </w:tcPr>
          <w:p w14:paraId="0C859971" w14:textId="3964FFC3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AE47A3">
              <w:rPr>
                <w:rFonts w:ascii="Garamond" w:hAnsi="Garamond"/>
                <w:b/>
              </w:rPr>
              <w:lastRenderedPageBreak/>
              <w:t>Thursday Morning</w:t>
            </w:r>
          </w:p>
        </w:tc>
        <w:tc>
          <w:tcPr>
            <w:tcW w:w="2786" w:type="dxa"/>
          </w:tcPr>
          <w:p w14:paraId="4AD6072F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Border management and barriers to market access</w:t>
            </w:r>
          </w:p>
          <w:p w14:paraId="0FDE6414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1B20A1D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63AD2E1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9B8BB23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5EEFE66F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4681D6C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93D7DB2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70BD7C0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C60C288" w14:textId="77777777" w:rsidR="00886971" w:rsidRPr="00AE47A3" w:rsidRDefault="00886971" w:rsidP="00886971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C5C4875" w14:textId="1B78DF93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3713B6D2" w14:textId="77777777" w:rsidR="00886971" w:rsidRPr="00AE47A3" w:rsidRDefault="00886971" w:rsidP="0088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</w:rPr>
            </w:pPr>
            <w:r w:rsidRPr="00AE47A3">
              <w:rPr>
                <w:rFonts w:ascii="Garamond" w:hAnsi="Garamond" w:cs="Arial"/>
                <w:b/>
                <w:bCs/>
              </w:rPr>
              <w:t xml:space="preserve">Analysis of rules and WTO case Law on Tariff barriers to trade </w:t>
            </w:r>
          </w:p>
          <w:p w14:paraId="0A5960D9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Tariffs and domestic policies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21E50E0B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Tariff classification and the Harmonized System </w:t>
            </w:r>
          </w:p>
          <w:p w14:paraId="6B589216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Harmonized commodity description and coding system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3FE94AE1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GATT framework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73EA815C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Schedules of concessions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0671AEA5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WTO commitments on tariffs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5245AC1C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Protection of tariff bindings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55E8828A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Border tax adjustments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53E4D634" w14:textId="23AFDDB3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Modification of schedules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0CFA5C37" w14:textId="77777777" w:rsidR="00886971" w:rsidRPr="00AE47A3" w:rsidRDefault="00886971" w:rsidP="0088697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Other GATT provisions on schedule modification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</w:p>
          <w:p w14:paraId="7B54AA7C" w14:textId="4285CFE9" w:rsidR="00886971" w:rsidRPr="003B7A44" w:rsidRDefault="00886971" w:rsidP="003B7A44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 xml:space="preserve">Customs valuation </w:t>
            </w:r>
            <w:r w:rsidRPr="00AE47A3">
              <w:rPr>
                <w:rFonts w:ascii="Garamond" w:eastAsia="MS Mincho" w:hAnsi="Garamond" w:cs="MS Mincho"/>
                <w:sz w:val="22"/>
                <w:szCs w:val="22"/>
              </w:rPr>
              <w:t> </w:t>
            </w:r>
            <w:r w:rsidRPr="00AE47A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897" w:type="dxa"/>
          </w:tcPr>
          <w:p w14:paraId="7A1D4C28" w14:textId="2B292FE1" w:rsidR="00886971" w:rsidRPr="00AE47A3" w:rsidDel="004934A5" w:rsidRDefault="0013288B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6</w:t>
            </w:r>
          </w:p>
        </w:tc>
      </w:tr>
      <w:tr w:rsidR="00886971" w:rsidRPr="00AE47A3" w14:paraId="6E30D38F" w14:textId="77777777" w:rsidTr="003B7A44">
        <w:trPr>
          <w:trHeight w:val="3326"/>
        </w:trPr>
        <w:tc>
          <w:tcPr>
            <w:tcW w:w="1462" w:type="dxa"/>
          </w:tcPr>
          <w:p w14:paraId="6AACCDC5" w14:textId="77777777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  <w:p w14:paraId="2BD4310C" w14:textId="60ACF547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AE47A3">
              <w:rPr>
                <w:rFonts w:ascii="Garamond" w:hAnsi="Garamond"/>
                <w:b/>
              </w:rPr>
              <w:t>Afternoon</w:t>
            </w:r>
          </w:p>
        </w:tc>
        <w:tc>
          <w:tcPr>
            <w:tcW w:w="2786" w:type="dxa"/>
          </w:tcPr>
          <w:p w14:paraId="133AC31D" w14:textId="77777777" w:rsidR="0057715F" w:rsidRPr="00AE47A3" w:rsidRDefault="0057715F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66A675D" w14:textId="698E6263" w:rsidR="00886971" w:rsidRPr="00AE47A3" w:rsidDel="00AF6398" w:rsidRDefault="00886971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Border management and Non-tariff barriers to market access</w:t>
            </w:r>
          </w:p>
        </w:tc>
        <w:tc>
          <w:tcPr>
            <w:tcW w:w="6520" w:type="dxa"/>
          </w:tcPr>
          <w:p w14:paraId="524009D4" w14:textId="647DF87F" w:rsidR="00886971" w:rsidRPr="00AE47A3" w:rsidRDefault="00886971" w:rsidP="003627EF">
            <w:pPr>
              <w:spacing w:after="0" w:line="240" w:lineRule="auto"/>
              <w:rPr>
                <w:rFonts w:ascii="Garamond" w:hAnsi="Garamond"/>
              </w:rPr>
            </w:pPr>
          </w:p>
          <w:p w14:paraId="7DC5F35D" w14:textId="77777777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AE47A3">
              <w:rPr>
                <w:rFonts w:ascii="Garamond" w:hAnsi="Garamond"/>
                <w:b/>
              </w:rPr>
              <w:t>Analysis of Regulation of Non-Tariff Barriers</w:t>
            </w:r>
          </w:p>
          <w:p w14:paraId="28C500C4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Import and Export eligibility requirements</w:t>
            </w:r>
          </w:p>
          <w:p w14:paraId="28BB2497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Non-Automatic Licensing Quotas, Prohibitions and Quality Control Measures</w:t>
            </w:r>
          </w:p>
          <w:p w14:paraId="2E776FFA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Price-Control and Finance Measures</w:t>
            </w:r>
          </w:p>
          <w:p w14:paraId="370F895C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Export-Related Measures</w:t>
            </w:r>
          </w:p>
          <w:p w14:paraId="6A156975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State subsidies, trading enterprises and procurement</w:t>
            </w:r>
          </w:p>
          <w:p w14:paraId="527BA1F1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Buy national policy</w:t>
            </w:r>
          </w:p>
          <w:p w14:paraId="6C007EBA" w14:textId="77777777" w:rsidR="00886971" w:rsidRPr="00AE47A3" w:rsidRDefault="00886971" w:rsidP="003627E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Seasonal import regimes</w:t>
            </w:r>
          </w:p>
          <w:p w14:paraId="3B0C11A2" w14:textId="6A0AA027" w:rsidR="00886971" w:rsidRPr="00AE47A3" w:rsidRDefault="00886971" w:rsidP="00362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Relevance of NTMs and Implications of NTBs on LDCs and Sub-Saharan African Countries.</w:t>
            </w:r>
          </w:p>
        </w:tc>
        <w:tc>
          <w:tcPr>
            <w:tcW w:w="2897" w:type="dxa"/>
          </w:tcPr>
          <w:p w14:paraId="025F0032" w14:textId="77777777" w:rsidR="00886971" w:rsidRPr="00AE47A3" w:rsidRDefault="00886971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590D4C31" w14:textId="2285ED25" w:rsidR="00886971" w:rsidRPr="00AE47A3" w:rsidDel="004934A5" w:rsidRDefault="0013288B" w:rsidP="003627E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7.</w:t>
            </w:r>
          </w:p>
        </w:tc>
      </w:tr>
      <w:tr w:rsidR="00886971" w:rsidRPr="00AE47A3" w14:paraId="40F0E1DA" w14:textId="77777777" w:rsidTr="00AE47A3">
        <w:tc>
          <w:tcPr>
            <w:tcW w:w="1462" w:type="dxa"/>
          </w:tcPr>
          <w:p w14:paraId="64BCDAB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Friday</w:t>
            </w:r>
          </w:p>
          <w:p w14:paraId="3C1EB2B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Morning </w:t>
            </w:r>
          </w:p>
          <w:p w14:paraId="00BBA87F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12:30hrs</w:t>
            </w:r>
          </w:p>
        </w:tc>
        <w:tc>
          <w:tcPr>
            <w:tcW w:w="2786" w:type="dxa"/>
          </w:tcPr>
          <w:p w14:paraId="3993047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Rules of Origin</w:t>
            </w:r>
          </w:p>
          <w:p w14:paraId="234A7E83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15F2101B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Analysis of legal aspects and features of Rules of Origin</w:t>
            </w:r>
          </w:p>
          <w:p w14:paraId="02609D60" w14:textId="17DBA1DA" w:rsidR="00886971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Role of Rule</w:t>
            </w:r>
            <w:r w:rsidR="003B7A44">
              <w:rPr>
                <w:rFonts w:ascii="Garamond" w:hAnsi="Garamond"/>
                <w:sz w:val="22"/>
                <w:szCs w:val="22"/>
                <w:lang w:val="en-GB"/>
              </w:rPr>
              <w:t>s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 of Origin</w:t>
            </w:r>
          </w:p>
          <w:p w14:paraId="3B107547" w14:textId="77777777" w:rsidR="003B7A44" w:rsidRPr="00AE47A3" w:rsidRDefault="003B7A44" w:rsidP="003B7A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Rules of Origin Legal Instruments: WTO Agreement on Rules of Origin</w:t>
            </w:r>
          </w:p>
          <w:p w14:paraId="4F821CE1" w14:textId="2A539FA8" w:rsidR="00886971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Intersection of Rules of Origin and </w:t>
            </w:r>
            <w:r w:rsidR="003B7A44">
              <w:rPr>
                <w:rFonts w:ascii="Garamond" w:hAnsi="Garamond"/>
                <w:sz w:val="22"/>
                <w:szCs w:val="22"/>
                <w:lang w:val="en-GB"/>
              </w:rPr>
              <w:t>t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rade </w:t>
            </w:r>
            <w:r w:rsidR="003B7A44">
              <w:rPr>
                <w:rFonts w:ascii="Garamond" w:hAnsi="Garamond"/>
                <w:sz w:val="22"/>
                <w:szCs w:val="22"/>
                <w:lang w:val="en-GB"/>
              </w:rPr>
              <w:t>p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olicy </w:t>
            </w:r>
            <w:r w:rsidR="003B7A44">
              <w:rPr>
                <w:rFonts w:ascii="Garamond" w:hAnsi="Garamond"/>
                <w:sz w:val="22"/>
                <w:szCs w:val="22"/>
                <w:lang w:val="en-GB"/>
              </w:rPr>
              <w:t xml:space="preserve">measures 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and resulting consequences</w:t>
            </w:r>
          </w:p>
          <w:p w14:paraId="58C48214" w14:textId="71B300D8" w:rsidR="0057715F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Origin Criteria</w:t>
            </w:r>
          </w:p>
          <w:p w14:paraId="11CFCAC0" w14:textId="256F7F9F" w:rsidR="00886971" w:rsidRPr="00AE47A3" w:rsidRDefault="00886971" w:rsidP="005771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/>
                <w:sz w:val="22"/>
                <w:szCs w:val="22"/>
              </w:rPr>
              <w:t>Scope of Application of Rules of Origin</w:t>
            </w:r>
          </w:p>
        </w:tc>
        <w:tc>
          <w:tcPr>
            <w:tcW w:w="2897" w:type="dxa"/>
          </w:tcPr>
          <w:p w14:paraId="477A7BEC" w14:textId="77AA0B41" w:rsidR="00886971" w:rsidRPr="00AE47A3" w:rsidRDefault="005700CE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 xml:space="preserve">Stefano </w:t>
            </w:r>
            <w:proofErr w:type="spellStart"/>
            <w:r w:rsidRPr="00AE47A3">
              <w:rPr>
                <w:rFonts w:ascii="Garamond" w:hAnsi="Garamond"/>
              </w:rPr>
              <w:t>Inama</w:t>
            </w:r>
            <w:proofErr w:type="spellEnd"/>
            <w:r w:rsidRPr="00AE47A3">
              <w:rPr>
                <w:rFonts w:ascii="Garamond" w:hAnsi="Garamond"/>
              </w:rPr>
              <w:t xml:space="preserve"> (2011). Rules of Origin in International Trade (Cambridge: Cambridge University Press)</w:t>
            </w:r>
          </w:p>
        </w:tc>
      </w:tr>
      <w:tr w:rsidR="00886971" w:rsidRPr="00AE47A3" w14:paraId="42BCFE47" w14:textId="77777777" w:rsidTr="00AE47A3">
        <w:tc>
          <w:tcPr>
            <w:tcW w:w="1462" w:type="dxa"/>
          </w:tcPr>
          <w:p w14:paraId="74154F3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lastRenderedPageBreak/>
              <w:t>Friday</w:t>
            </w:r>
          </w:p>
          <w:p w14:paraId="708D0E2D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6E65D7D8" w14:textId="77777777" w:rsidR="00886971" w:rsidRPr="00AE47A3" w:rsidDel="004E75F4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14:30 – 17hrs</w:t>
            </w:r>
          </w:p>
        </w:tc>
        <w:tc>
          <w:tcPr>
            <w:tcW w:w="2786" w:type="dxa"/>
          </w:tcPr>
          <w:p w14:paraId="14EFF75A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Rules of Origin</w:t>
            </w:r>
          </w:p>
          <w:p w14:paraId="54167147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239B0CFD" w14:textId="77777777" w:rsidR="00886971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Preferential Rules of Origin</w:t>
            </w:r>
          </w:p>
          <w:p w14:paraId="0E4E0108" w14:textId="77777777" w:rsidR="00886971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Non-Preferential Rules of Origin</w:t>
            </w:r>
          </w:p>
          <w:p w14:paraId="5F309433" w14:textId="756C01FD" w:rsidR="003B7A44" w:rsidRPr="00AE47A3" w:rsidRDefault="00886971" w:rsidP="00335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Rules of Origin in integrated productions processes and </w:t>
            </w:r>
            <w:r w:rsidR="003B7A44">
              <w:rPr>
                <w:rFonts w:ascii="Garamond" w:hAnsi="Garamond"/>
                <w:sz w:val="22"/>
                <w:szCs w:val="22"/>
                <w:lang w:val="en-GB"/>
              </w:rPr>
              <w:t xml:space="preserve">multiple 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manufacturing locations.</w:t>
            </w:r>
          </w:p>
          <w:p w14:paraId="09896738" w14:textId="34F921C5" w:rsidR="00886971" w:rsidRPr="003B7A44" w:rsidRDefault="00886971" w:rsidP="003B7A4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3B7A44">
              <w:rPr>
                <w:rFonts w:ascii="Garamond" w:hAnsi="Garamond"/>
                <w:sz w:val="22"/>
                <w:szCs w:val="22"/>
              </w:rPr>
              <w:t>Relationship of rules of Origin and Services</w:t>
            </w:r>
            <w:r w:rsidR="009B2BF3" w:rsidRPr="003B7A4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1277C0E" w14:textId="54916120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Review of a case stud</w:t>
            </w:r>
            <w:r w:rsidR="003B7A44">
              <w:rPr>
                <w:rFonts w:ascii="Garamond" w:hAnsi="Garamond"/>
              </w:rPr>
              <w:t>ies</w:t>
            </w:r>
            <w:r w:rsidRPr="00AE47A3">
              <w:rPr>
                <w:rFonts w:ascii="Garamond" w:hAnsi="Garamond"/>
              </w:rPr>
              <w:t xml:space="preserve"> involving or of relevance to LDCs and Sub-Sahara African Countries</w:t>
            </w:r>
          </w:p>
        </w:tc>
        <w:tc>
          <w:tcPr>
            <w:tcW w:w="2897" w:type="dxa"/>
          </w:tcPr>
          <w:p w14:paraId="74FDAC04" w14:textId="349F42AC" w:rsidR="00886971" w:rsidRPr="00AE47A3" w:rsidRDefault="005700CE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AE47A3">
              <w:rPr>
                <w:rFonts w:ascii="Garamond" w:hAnsi="Garamond"/>
              </w:rPr>
              <w:t xml:space="preserve">Stefano </w:t>
            </w:r>
            <w:proofErr w:type="spellStart"/>
            <w:r w:rsidRPr="00AE47A3">
              <w:rPr>
                <w:rFonts w:ascii="Garamond" w:hAnsi="Garamond"/>
              </w:rPr>
              <w:t>Inama</w:t>
            </w:r>
            <w:proofErr w:type="spellEnd"/>
            <w:r w:rsidRPr="00AE47A3">
              <w:rPr>
                <w:rFonts w:ascii="Garamond" w:hAnsi="Garamond"/>
              </w:rPr>
              <w:t xml:space="preserve"> (2011). Rules of Origin in International Trade (Cambridge: Cambridge University Press)</w:t>
            </w:r>
          </w:p>
        </w:tc>
      </w:tr>
      <w:tr w:rsidR="00886971" w:rsidRPr="00AE47A3" w14:paraId="3946B85E" w14:textId="77777777" w:rsidTr="00AE47A3">
        <w:trPr>
          <w:trHeight w:val="470"/>
        </w:trPr>
        <w:tc>
          <w:tcPr>
            <w:tcW w:w="1462" w:type="dxa"/>
          </w:tcPr>
          <w:p w14:paraId="6773C820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Sat Morning</w:t>
            </w:r>
          </w:p>
          <w:p w14:paraId="5FD167C3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9am-10:30am</w:t>
            </w:r>
          </w:p>
        </w:tc>
        <w:tc>
          <w:tcPr>
            <w:tcW w:w="2786" w:type="dxa"/>
          </w:tcPr>
          <w:p w14:paraId="7F86928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Final exam (90 mins)</w:t>
            </w:r>
          </w:p>
        </w:tc>
        <w:tc>
          <w:tcPr>
            <w:tcW w:w="6520" w:type="dxa"/>
          </w:tcPr>
          <w:p w14:paraId="68AF69EE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Faculty to mark exam scripts and assignments</w:t>
            </w:r>
          </w:p>
        </w:tc>
        <w:tc>
          <w:tcPr>
            <w:tcW w:w="2897" w:type="dxa"/>
          </w:tcPr>
          <w:p w14:paraId="2C7FAE19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886971" w:rsidRPr="00AE47A3" w14:paraId="23024F54" w14:textId="77777777" w:rsidTr="003B7A44">
        <w:tc>
          <w:tcPr>
            <w:tcW w:w="1462" w:type="dxa"/>
            <w:shd w:val="clear" w:color="auto" w:fill="A6A6A6" w:themeFill="background1" w:themeFillShade="A6"/>
          </w:tcPr>
          <w:p w14:paraId="6A7ABF14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WEEKEND</w:t>
            </w:r>
          </w:p>
        </w:tc>
        <w:tc>
          <w:tcPr>
            <w:tcW w:w="2786" w:type="dxa"/>
            <w:shd w:val="clear" w:color="auto" w:fill="A6A6A6" w:themeFill="background1" w:themeFillShade="A6"/>
          </w:tcPr>
          <w:p w14:paraId="08C6F74E" w14:textId="77777777" w:rsidR="00886971" w:rsidRPr="00AE47A3" w:rsidRDefault="00886971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  <w:b/>
              </w:rPr>
              <w:t>WEEKEND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14:paraId="251325CC" w14:textId="77777777" w:rsidR="00886971" w:rsidRPr="00AE47A3" w:rsidRDefault="00886971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  <w:b/>
              </w:rPr>
              <w:t>WEEKEND</w:t>
            </w:r>
          </w:p>
        </w:tc>
        <w:tc>
          <w:tcPr>
            <w:tcW w:w="2897" w:type="dxa"/>
            <w:shd w:val="clear" w:color="auto" w:fill="A6A6A6" w:themeFill="background1" w:themeFillShade="A6"/>
          </w:tcPr>
          <w:p w14:paraId="41A2F0F2" w14:textId="77777777" w:rsidR="00886971" w:rsidRPr="00AE47A3" w:rsidRDefault="00886971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/>
                <w:b/>
              </w:rPr>
              <w:t>WEEKEND</w:t>
            </w:r>
          </w:p>
        </w:tc>
      </w:tr>
      <w:tr w:rsidR="00886971" w:rsidRPr="00AE47A3" w14:paraId="4FBE76EC" w14:textId="77777777" w:rsidTr="00AE47A3">
        <w:trPr>
          <w:trHeight w:val="1117"/>
        </w:trPr>
        <w:tc>
          <w:tcPr>
            <w:tcW w:w="1462" w:type="dxa"/>
          </w:tcPr>
          <w:p w14:paraId="2AAA1412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 xml:space="preserve">Mon </w:t>
            </w:r>
          </w:p>
          <w:p w14:paraId="59D0C61D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394D1CA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10:30hrs</w:t>
            </w:r>
          </w:p>
        </w:tc>
        <w:tc>
          <w:tcPr>
            <w:tcW w:w="2786" w:type="dxa"/>
          </w:tcPr>
          <w:p w14:paraId="5E501B03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Trade Remedies </w:t>
            </w:r>
          </w:p>
          <w:p w14:paraId="422929B7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13FFD98F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Anti-Dumping</w:t>
            </w:r>
          </w:p>
          <w:p w14:paraId="5949FD51" w14:textId="77777777" w:rsidR="00886971" w:rsidRPr="00AE47A3" w:rsidRDefault="00886971" w:rsidP="00AE47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The Determination of Dumping and the relevant WTO case law</w:t>
            </w:r>
          </w:p>
          <w:p w14:paraId="0687F960" w14:textId="77777777" w:rsidR="00886971" w:rsidRPr="00AE47A3" w:rsidRDefault="00886971" w:rsidP="00AE47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The Determination of Injury and the relevant WTO case law</w:t>
            </w:r>
          </w:p>
          <w:p w14:paraId="29768F66" w14:textId="77777777" w:rsidR="00886971" w:rsidRPr="00AE47A3" w:rsidRDefault="00886971" w:rsidP="003356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 w:cs="Times"/>
                <w:sz w:val="22"/>
                <w:szCs w:val="22"/>
              </w:rPr>
              <w:t>National Procedures and WTO Procedures</w:t>
            </w: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  <w:p w14:paraId="4131AF20" w14:textId="3AAF50F1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/>
              </w:rPr>
              <w:t>Application of Anti-Dumping Agreement by developing countries including LDCs using selected relevant case studies.</w:t>
            </w:r>
          </w:p>
        </w:tc>
        <w:tc>
          <w:tcPr>
            <w:tcW w:w="2897" w:type="dxa"/>
          </w:tcPr>
          <w:p w14:paraId="7C291959" w14:textId="205C355E" w:rsidR="00886971" w:rsidRPr="00AE47A3" w:rsidRDefault="0013288B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11</w:t>
            </w:r>
          </w:p>
        </w:tc>
      </w:tr>
      <w:tr w:rsidR="00886971" w:rsidRPr="00AE47A3" w14:paraId="51BB0F11" w14:textId="77777777" w:rsidTr="00AE47A3">
        <w:trPr>
          <w:trHeight w:val="1669"/>
        </w:trPr>
        <w:tc>
          <w:tcPr>
            <w:tcW w:w="1462" w:type="dxa"/>
          </w:tcPr>
          <w:p w14:paraId="58E524D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69C3DFB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 – 17hrs</w:t>
            </w:r>
          </w:p>
        </w:tc>
        <w:tc>
          <w:tcPr>
            <w:tcW w:w="2786" w:type="dxa"/>
          </w:tcPr>
          <w:p w14:paraId="1A6965FD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Trade Remedies </w:t>
            </w:r>
          </w:p>
          <w:p w14:paraId="587A68D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434E3F0D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Subsidies and Countervailing Measures</w:t>
            </w:r>
          </w:p>
          <w:p w14:paraId="2BD5AAC5" w14:textId="77777777" w:rsidR="00886971" w:rsidRPr="00AE47A3" w:rsidRDefault="00886971" w:rsidP="0033561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Determination of Subsidization</w:t>
            </w:r>
          </w:p>
          <w:p w14:paraId="3F050143" w14:textId="77777777" w:rsidR="00886971" w:rsidRPr="00AE47A3" w:rsidRDefault="00886971" w:rsidP="0033561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Determination of material injury, adverse effects and serious injury</w:t>
            </w:r>
          </w:p>
          <w:p w14:paraId="3E0E3BEF" w14:textId="77777777" w:rsidR="00886971" w:rsidRPr="00AE47A3" w:rsidRDefault="00886971" w:rsidP="0033561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/>
                <w:sz w:val="22"/>
                <w:szCs w:val="22"/>
                <w:lang w:val="en-GB"/>
              </w:rPr>
              <w:t>Procedural rules and remedies</w:t>
            </w:r>
          </w:p>
          <w:p w14:paraId="431E1C70" w14:textId="77777777" w:rsidR="00886971" w:rsidRPr="00AE47A3" w:rsidRDefault="00886971" w:rsidP="0033561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2"/>
                <w:szCs w:val="22"/>
                <w:lang w:val="en-GB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Special and Differential Treatment for Developing countries</w:t>
            </w:r>
          </w:p>
          <w:p w14:paraId="0B19B6EC" w14:textId="63487C85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Case study on subsidies and countervailing measures</w:t>
            </w:r>
          </w:p>
        </w:tc>
        <w:tc>
          <w:tcPr>
            <w:tcW w:w="2897" w:type="dxa"/>
          </w:tcPr>
          <w:p w14:paraId="4FBAF0F7" w14:textId="5583290B" w:rsidR="00886971" w:rsidRPr="00AE47A3" w:rsidRDefault="0013288B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12</w:t>
            </w:r>
          </w:p>
        </w:tc>
      </w:tr>
      <w:tr w:rsidR="00886971" w:rsidRPr="00AE47A3" w14:paraId="61579207" w14:textId="77777777" w:rsidTr="00AE47A3">
        <w:trPr>
          <w:trHeight w:val="171"/>
        </w:trPr>
        <w:tc>
          <w:tcPr>
            <w:tcW w:w="1462" w:type="dxa"/>
          </w:tcPr>
          <w:p w14:paraId="103DE92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Tue</w:t>
            </w:r>
          </w:p>
          <w:p w14:paraId="32254452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5ABAD38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13:00hrs</w:t>
            </w:r>
          </w:p>
        </w:tc>
        <w:tc>
          <w:tcPr>
            <w:tcW w:w="2786" w:type="dxa"/>
          </w:tcPr>
          <w:p w14:paraId="4C50F44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Trade Remedies</w:t>
            </w:r>
          </w:p>
        </w:tc>
        <w:tc>
          <w:tcPr>
            <w:tcW w:w="6520" w:type="dxa"/>
          </w:tcPr>
          <w:p w14:paraId="56FD2ACB" w14:textId="77777777" w:rsidR="00886971" w:rsidRPr="00AE47A3" w:rsidRDefault="00886971" w:rsidP="00AE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"/>
                <w:color w:val="000000"/>
                <w:lang w:val="en-US"/>
              </w:rPr>
            </w:pPr>
            <w:r w:rsidRPr="00AE47A3">
              <w:rPr>
                <w:rFonts w:ascii="Garamond" w:hAnsi="Garamond" w:cs="Garamond"/>
                <w:color w:val="000000"/>
                <w:lang w:val="en-US"/>
              </w:rPr>
              <w:t xml:space="preserve">Safeguards: </w:t>
            </w:r>
          </w:p>
          <w:p w14:paraId="294E031F" w14:textId="77777777" w:rsidR="00886971" w:rsidRPr="00AE47A3" w:rsidRDefault="00886971" w:rsidP="00AE47A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2"/>
                <w:szCs w:val="22"/>
              </w:rPr>
            </w:pPr>
            <w:r w:rsidRPr="00AE47A3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Analysis of the conditions for the application of Safeguards Measures, including relevant WTO case law </w:t>
            </w:r>
          </w:p>
          <w:p w14:paraId="4FB1DAD8" w14:textId="6BE797C0" w:rsidR="00886971" w:rsidRPr="00AE47A3" w:rsidRDefault="00886971" w:rsidP="00AE47A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AE47A3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Application of Safeguard Measures by developing countries including LDCs using selected relevant case studies. </w:t>
            </w:r>
          </w:p>
        </w:tc>
        <w:tc>
          <w:tcPr>
            <w:tcW w:w="2897" w:type="dxa"/>
          </w:tcPr>
          <w:p w14:paraId="57292AB0" w14:textId="10073EC3" w:rsidR="00886971" w:rsidRPr="00AE47A3" w:rsidRDefault="00291F3A" w:rsidP="00AE47A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 xml:space="preserve">17) </w:t>
            </w:r>
            <w:r w:rsidRPr="00BE3ECA">
              <w:rPr>
                <w:rFonts w:ascii="Garamond" w:hAnsi="Garamond"/>
                <w:i/>
              </w:rPr>
              <w:t>The World Trade Organization: Law, Practice and Policy</w:t>
            </w:r>
            <w:r w:rsidRPr="00AE47A3" w:rsidDel="004934A5">
              <w:rPr>
                <w:rFonts w:ascii="Garamond" w:hAnsi="Garamond"/>
                <w:bCs/>
                <w:u w:val="single"/>
              </w:rPr>
              <w:t xml:space="preserve"> </w:t>
            </w:r>
            <w:r w:rsidRPr="00AE47A3">
              <w:rPr>
                <w:rFonts w:ascii="Garamond" w:hAnsi="Garamond"/>
                <w:bCs/>
                <w:u w:val="single"/>
              </w:rPr>
              <w:t>Chapter 6</w:t>
            </w:r>
          </w:p>
        </w:tc>
      </w:tr>
      <w:tr w:rsidR="00886971" w:rsidRPr="00AE47A3" w14:paraId="55DEE622" w14:textId="77777777" w:rsidTr="00AE47A3">
        <w:trPr>
          <w:trHeight w:val="1117"/>
        </w:trPr>
        <w:tc>
          <w:tcPr>
            <w:tcW w:w="1462" w:type="dxa"/>
          </w:tcPr>
          <w:p w14:paraId="778A0C8D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  <w:p w14:paraId="061080A7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Tue</w:t>
            </w:r>
          </w:p>
          <w:p w14:paraId="42242AD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008D0980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 – 15:00hrs</w:t>
            </w:r>
          </w:p>
        </w:tc>
        <w:tc>
          <w:tcPr>
            <w:tcW w:w="2786" w:type="dxa"/>
          </w:tcPr>
          <w:p w14:paraId="75FE5CF5" w14:textId="4398AA69" w:rsidR="00886971" w:rsidRPr="00AE47A3" w:rsidRDefault="009B2BF3" w:rsidP="009B2BF3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relationship between the GATT and TBT and SPS Agreements</w:t>
            </w:r>
          </w:p>
        </w:tc>
        <w:tc>
          <w:tcPr>
            <w:tcW w:w="6520" w:type="dxa"/>
          </w:tcPr>
          <w:p w14:paraId="5EC429A5" w14:textId="0747D15E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"/>
              </w:rPr>
            </w:pPr>
            <w:r w:rsidRPr="00AE47A3">
              <w:rPr>
                <w:rFonts w:ascii="Garamond" w:hAnsi="Garamond" w:cs="Arial"/>
              </w:rPr>
              <w:t xml:space="preserve">Review of the relationship between the TBT Agreement and Articles III:4 and XX of GATT Review of the relationship between the TBT Agreement and Articles III:4 and XX of GATT 1994; and the SPS Agreement and GATT Article XX(b) and </w:t>
            </w:r>
            <w:r w:rsidRPr="00AE47A3">
              <w:rPr>
                <w:rFonts w:ascii="Garamond" w:eastAsia="MS Mincho" w:hAnsi="Garamond" w:cs="MS Mincho"/>
              </w:rPr>
              <w:t> </w:t>
            </w:r>
            <w:r w:rsidRPr="00AE47A3">
              <w:rPr>
                <w:rFonts w:ascii="Garamond" w:hAnsi="Garamond" w:cs="Arial"/>
              </w:rPr>
              <w:t xml:space="preserve">the distinction between TBT and SPS measures. </w:t>
            </w:r>
            <w:r w:rsidRPr="00AE47A3">
              <w:rPr>
                <w:rFonts w:ascii="Garamond" w:eastAsia="MS Mincho" w:hAnsi="Garamond" w:cs="MS Mincho"/>
              </w:rPr>
              <w:t> </w:t>
            </w:r>
          </w:p>
          <w:p w14:paraId="155FEFA0" w14:textId="6F354BE5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 w:cs="Arial"/>
              </w:rPr>
              <w:t>Illustration of the difference between legitimate regulatory objectives and regulations for protectionist objectives.</w:t>
            </w:r>
          </w:p>
        </w:tc>
        <w:tc>
          <w:tcPr>
            <w:tcW w:w="2897" w:type="dxa"/>
          </w:tcPr>
          <w:p w14:paraId="1C78804E" w14:textId="15D9F0A6" w:rsidR="00886971" w:rsidRPr="00AE47A3" w:rsidRDefault="008B6F58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14</w:t>
            </w:r>
          </w:p>
        </w:tc>
      </w:tr>
      <w:tr w:rsidR="00886971" w:rsidRPr="00AE47A3" w14:paraId="675E9D07" w14:textId="77777777" w:rsidTr="00AE47A3">
        <w:tc>
          <w:tcPr>
            <w:tcW w:w="1462" w:type="dxa"/>
          </w:tcPr>
          <w:p w14:paraId="632F9039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lastRenderedPageBreak/>
              <w:t>15-17:00hrs</w:t>
            </w:r>
          </w:p>
        </w:tc>
        <w:tc>
          <w:tcPr>
            <w:tcW w:w="2786" w:type="dxa"/>
          </w:tcPr>
          <w:p w14:paraId="32BCCDC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Legal Aspects of SPS in international trade </w:t>
            </w:r>
          </w:p>
          <w:p w14:paraId="102FE4F4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6CE8391E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Analysis of the basic disciplines of the SPS Agreement and Procedures for Control, Inspection and Approval.</w:t>
            </w:r>
          </w:p>
          <w:p w14:paraId="23E420C5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14:paraId="01C9FC90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The Principles of Harmonization, Equivalence and Transparency in the SPS Agreement and other Agreement</w:t>
            </w:r>
          </w:p>
          <w:p w14:paraId="55FF5DF8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2897" w:type="dxa"/>
          </w:tcPr>
          <w:p w14:paraId="3A9A9D89" w14:textId="1AEE90BB" w:rsidR="002330ED" w:rsidRPr="00AE47A3" w:rsidRDefault="002330ED" w:rsidP="00AE47A3">
            <w:pPr>
              <w:spacing w:after="0" w:line="240" w:lineRule="auto"/>
              <w:jc w:val="both"/>
              <w:rPr>
                <w:rFonts w:ascii="Garamond" w:hAnsi="Garamond"/>
                <w:bCs/>
                <w:i/>
                <w:iCs/>
              </w:rPr>
            </w:pPr>
            <w:r w:rsidRPr="00BD1F7E">
              <w:rPr>
                <w:rFonts w:ascii="Garamond" w:hAnsi="Garamond"/>
                <w:bCs/>
              </w:rPr>
              <w:t>-</w:t>
            </w:r>
            <w:r w:rsidR="008B6F58"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="008B6F58" w:rsidRPr="00BD1F7E">
              <w:rPr>
                <w:rFonts w:ascii="Garamond" w:hAnsi="Garamond"/>
                <w:bCs/>
              </w:rPr>
              <w:t>Bossche</w:t>
            </w:r>
            <w:proofErr w:type="spellEnd"/>
            <w:r w:rsidR="008B6F58" w:rsidRPr="00BD1F7E">
              <w:rPr>
                <w:rFonts w:ascii="Garamond" w:hAnsi="Garamond"/>
                <w:bCs/>
              </w:rPr>
              <w:t xml:space="preserve"> (20</w:t>
            </w:r>
            <w:r w:rsidR="008B6F58" w:rsidRPr="00BE3ECA">
              <w:rPr>
                <w:rFonts w:ascii="Garamond" w:hAnsi="Garamond"/>
                <w:bCs/>
              </w:rPr>
              <w:t xml:space="preserve">17) </w:t>
            </w:r>
            <w:r w:rsidR="008B6F58"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14</w:t>
            </w:r>
          </w:p>
          <w:p w14:paraId="5A0AB214" w14:textId="41ABE32D" w:rsidR="00886971" w:rsidRPr="00AE47A3" w:rsidRDefault="002330ED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-</w:t>
            </w:r>
            <w:proofErr w:type="spellStart"/>
            <w:r w:rsidRPr="00AE47A3">
              <w:rPr>
                <w:rFonts w:ascii="Garamond" w:hAnsi="Garamond"/>
              </w:rPr>
              <w:t>Mitsuo</w:t>
            </w:r>
            <w:proofErr w:type="spellEnd"/>
            <w:r w:rsidRPr="00AE47A3">
              <w:rPr>
                <w:rFonts w:ascii="Garamond" w:hAnsi="Garamond"/>
              </w:rPr>
              <w:t xml:space="preserve"> Matsushita, Thomas J. </w:t>
            </w:r>
            <w:proofErr w:type="spellStart"/>
            <w:r w:rsidRPr="00AE47A3">
              <w:rPr>
                <w:rFonts w:ascii="Garamond" w:hAnsi="Garamond"/>
              </w:rPr>
              <w:t>Schoenbaum</w:t>
            </w:r>
            <w:proofErr w:type="spellEnd"/>
            <w:r w:rsidRPr="00AE47A3">
              <w:rPr>
                <w:rFonts w:ascii="Garamond" w:hAnsi="Garamond"/>
              </w:rPr>
              <w:t xml:space="preserve"> &amp; Petros C. Mavroidis (2015) </w:t>
            </w:r>
            <w:r w:rsidRPr="00AE47A3">
              <w:rPr>
                <w:rFonts w:ascii="Garamond" w:hAnsi="Garamond"/>
                <w:i/>
              </w:rPr>
              <w:t>The World Trade Organization: Law, Practice and Policy. Chapter 13.</w:t>
            </w:r>
            <w:r w:rsidRPr="00AE47A3" w:rsidDel="004934A5">
              <w:rPr>
                <w:rFonts w:ascii="Garamond" w:hAnsi="Garamond" w:cs="Arial"/>
              </w:rPr>
              <w:t xml:space="preserve"> </w:t>
            </w:r>
          </w:p>
        </w:tc>
      </w:tr>
      <w:tr w:rsidR="00886971" w:rsidRPr="00AE47A3" w14:paraId="781933DB" w14:textId="77777777" w:rsidTr="00AE47A3">
        <w:trPr>
          <w:trHeight w:val="1833"/>
        </w:trPr>
        <w:tc>
          <w:tcPr>
            <w:tcW w:w="1462" w:type="dxa"/>
          </w:tcPr>
          <w:p w14:paraId="33BB07B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Wed</w:t>
            </w:r>
          </w:p>
          <w:p w14:paraId="29248A3F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79D8494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13hrs</w:t>
            </w:r>
          </w:p>
          <w:p w14:paraId="79804A69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786" w:type="dxa"/>
          </w:tcPr>
          <w:p w14:paraId="49B396B4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Legal Aspects of SPS in international trade </w:t>
            </w:r>
          </w:p>
          <w:p w14:paraId="09A95B4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11F44C7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58FDCA67" w14:textId="77777777" w:rsidR="00886971" w:rsidRPr="00AE47A3" w:rsidRDefault="00886971" w:rsidP="00AE47A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Analysis of Risk Assessment, appropriate level of protection, consistency, provisional measures and regionalization in the SPS Agreement.</w:t>
            </w:r>
          </w:p>
          <w:p w14:paraId="7A90D347" w14:textId="2B870560" w:rsidR="00886971" w:rsidRPr="00AE47A3" w:rsidRDefault="00886971" w:rsidP="00AE47A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Analysis of relevant WTO case law and review of case studies of relevance to LDCs and Sub-Saharan African Countries</w:t>
            </w:r>
          </w:p>
          <w:p w14:paraId="3D648217" w14:textId="75F8E6D9" w:rsidR="00886971" w:rsidRPr="00AE47A3" w:rsidRDefault="00886971" w:rsidP="00AE47A3">
            <w:pPr>
              <w:spacing w:after="0" w:line="240" w:lineRule="auto"/>
              <w:rPr>
                <w:rFonts w:ascii="Garamond" w:hAnsi="Garamond"/>
              </w:rPr>
            </w:pPr>
            <w:r w:rsidRPr="00AE47A3">
              <w:rPr>
                <w:rFonts w:ascii="Garamond" w:hAnsi="Garamond" w:cs="Arial"/>
              </w:rPr>
              <w:t>Analysis of Government, business and LDCs as well as Sub-Saharan African countries’ concerns with respect to NTBs in general and the SPS Agreement in particular</w:t>
            </w:r>
            <w:r w:rsidRPr="00AE47A3" w:rsidDel="004934A5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897" w:type="dxa"/>
          </w:tcPr>
          <w:p w14:paraId="3FDC0E31" w14:textId="66A40F9B" w:rsidR="00886971" w:rsidRPr="00AE47A3" w:rsidRDefault="008B6F58" w:rsidP="00AE47A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14</w:t>
            </w:r>
          </w:p>
        </w:tc>
      </w:tr>
      <w:tr w:rsidR="00886971" w:rsidRPr="00AE47A3" w14:paraId="6742E2A7" w14:textId="77777777" w:rsidTr="00AE47A3">
        <w:tc>
          <w:tcPr>
            <w:tcW w:w="1462" w:type="dxa"/>
          </w:tcPr>
          <w:p w14:paraId="79E75DDA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Wed</w:t>
            </w:r>
          </w:p>
          <w:p w14:paraId="3C0879CB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2C35357E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 – 17hrs</w:t>
            </w:r>
          </w:p>
        </w:tc>
        <w:tc>
          <w:tcPr>
            <w:tcW w:w="2786" w:type="dxa"/>
          </w:tcPr>
          <w:p w14:paraId="1051E6F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Legal Aspects of TBT in international trade </w:t>
            </w:r>
          </w:p>
          <w:p w14:paraId="31162A15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520" w:type="dxa"/>
          </w:tcPr>
          <w:p w14:paraId="58FA692E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Analysis of key principles and rules of the TBT Agreement</w:t>
            </w:r>
          </w:p>
          <w:p w14:paraId="19A1FC81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Non-discrimination</w:t>
            </w:r>
          </w:p>
          <w:p w14:paraId="76609ED3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Technical Regulations, Standards and Conformity Assessment Procedures.</w:t>
            </w:r>
          </w:p>
          <w:p w14:paraId="73BA0D2B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The prevention of unnecessary obstacles</w:t>
            </w:r>
          </w:p>
          <w:p w14:paraId="43982906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Harmonization</w:t>
            </w:r>
          </w:p>
          <w:p w14:paraId="3F6AB581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Use of Relevant International Standards</w:t>
            </w:r>
          </w:p>
          <w:p w14:paraId="7BC1E609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Equivalence and Mutual Recognition</w:t>
            </w:r>
          </w:p>
          <w:p w14:paraId="58A2CEBF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Transparency</w:t>
            </w:r>
          </w:p>
          <w:p w14:paraId="78E24961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Analysis of relevant WTO case law.</w:t>
            </w:r>
          </w:p>
          <w:p w14:paraId="1C25FFD5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14:paraId="38EF3C71" w14:textId="3E8CDA5A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 w:cs="Arial"/>
              </w:rPr>
              <w:t>Analysis of Government, business and LDCs as well as Sub-Saharan African countries’ concerns with respect to NTBs in general and the TBT Agreement in particular.</w:t>
            </w:r>
          </w:p>
        </w:tc>
        <w:tc>
          <w:tcPr>
            <w:tcW w:w="2897" w:type="dxa"/>
          </w:tcPr>
          <w:p w14:paraId="77BEA167" w14:textId="0098B0EC" w:rsidR="00886971" w:rsidRPr="00AE47A3" w:rsidRDefault="008B6F58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D1F7E">
              <w:rPr>
                <w:rFonts w:ascii="Garamond" w:hAnsi="Garamond"/>
                <w:bCs/>
              </w:rPr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13</w:t>
            </w:r>
          </w:p>
        </w:tc>
      </w:tr>
      <w:tr w:rsidR="00886971" w:rsidRPr="00AE47A3" w14:paraId="0E1BCA9A" w14:textId="77777777" w:rsidTr="00AE47A3">
        <w:tc>
          <w:tcPr>
            <w:tcW w:w="1462" w:type="dxa"/>
          </w:tcPr>
          <w:p w14:paraId="0BFE12CA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Thurs.</w:t>
            </w:r>
          </w:p>
          <w:p w14:paraId="2D237500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444C3B85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13hrs</w:t>
            </w:r>
          </w:p>
        </w:tc>
        <w:tc>
          <w:tcPr>
            <w:tcW w:w="2786" w:type="dxa"/>
          </w:tcPr>
          <w:p w14:paraId="3B9431D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 xml:space="preserve">Legal Aspects of TBT in international trade </w:t>
            </w:r>
          </w:p>
        </w:tc>
        <w:tc>
          <w:tcPr>
            <w:tcW w:w="6520" w:type="dxa"/>
          </w:tcPr>
          <w:p w14:paraId="799D553B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Analysis of key principles and rules of the TBT Agreement</w:t>
            </w:r>
          </w:p>
          <w:p w14:paraId="23DBA95A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Non-discrimination</w:t>
            </w:r>
          </w:p>
          <w:p w14:paraId="3CFCB158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Technical Regulations, Standards and Conformity Assessment Procedures.</w:t>
            </w:r>
          </w:p>
          <w:p w14:paraId="452C5A08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lastRenderedPageBreak/>
              <w:t>The prevention of unnecessary obstacles</w:t>
            </w:r>
          </w:p>
          <w:p w14:paraId="5186AF4F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Harmonization</w:t>
            </w:r>
          </w:p>
          <w:p w14:paraId="370051B3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Use of Relevant International Standards</w:t>
            </w:r>
          </w:p>
          <w:p w14:paraId="224B1E5D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Equivalence and Mutual Recognition</w:t>
            </w:r>
          </w:p>
          <w:p w14:paraId="36D8A390" w14:textId="77777777" w:rsidR="00886971" w:rsidRPr="00AE47A3" w:rsidRDefault="00886971" w:rsidP="00335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47A3">
              <w:rPr>
                <w:rFonts w:ascii="Garamond" w:hAnsi="Garamond" w:cs="Arial"/>
                <w:sz w:val="22"/>
                <w:szCs w:val="22"/>
              </w:rPr>
              <w:t>Transparency</w:t>
            </w:r>
          </w:p>
          <w:p w14:paraId="3007939F" w14:textId="77777777" w:rsidR="00886971" w:rsidRPr="00AE47A3" w:rsidRDefault="00886971" w:rsidP="00AE47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AE47A3">
              <w:rPr>
                <w:rFonts w:ascii="Garamond" w:hAnsi="Garamond" w:cs="Arial"/>
              </w:rPr>
              <w:t>Analysis of relevant WTO case law.</w:t>
            </w:r>
          </w:p>
          <w:p w14:paraId="2DB6F91A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</w:p>
          <w:p w14:paraId="6E2AA557" w14:textId="3E030D8F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strike/>
              </w:rPr>
            </w:pPr>
            <w:r w:rsidRPr="00AE47A3">
              <w:rPr>
                <w:rFonts w:ascii="Garamond" w:hAnsi="Garamond" w:cs="Arial"/>
              </w:rPr>
              <w:t>Analysis of Government, business and LDCs as well as Sub-Saharan African countries’ concerns with respect to NTBs in general and the TBT Agreement in particular.</w:t>
            </w:r>
          </w:p>
        </w:tc>
        <w:tc>
          <w:tcPr>
            <w:tcW w:w="2897" w:type="dxa"/>
          </w:tcPr>
          <w:p w14:paraId="6771A6E0" w14:textId="74CC7C80" w:rsidR="00886971" w:rsidRPr="00AE47A3" w:rsidRDefault="008B6F58" w:rsidP="00AE47A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trike/>
              </w:rPr>
            </w:pPr>
            <w:r w:rsidRPr="00BD1F7E">
              <w:rPr>
                <w:rFonts w:ascii="Garamond" w:hAnsi="Garamond"/>
                <w:bCs/>
              </w:rPr>
              <w:lastRenderedPageBreak/>
              <w:t xml:space="preserve">Peter van den </w:t>
            </w:r>
            <w:proofErr w:type="spellStart"/>
            <w:r w:rsidRPr="00BD1F7E">
              <w:rPr>
                <w:rFonts w:ascii="Garamond" w:hAnsi="Garamond"/>
                <w:bCs/>
              </w:rPr>
              <w:t>Bossche</w:t>
            </w:r>
            <w:proofErr w:type="spellEnd"/>
            <w:r w:rsidRPr="00BD1F7E">
              <w:rPr>
                <w:rFonts w:ascii="Garamond" w:hAnsi="Garamond"/>
                <w:bCs/>
              </w:rPr>
              <w:t xml:space="preserve"> (2017</w:t>
            </w:r>
            <w:r w:rsidRPr="00BE3ECA">
              <w:rPr>
                <w:rFonts w:ascii="Garamond" w:hAnsi="Garamond"/>
                <w:bCs/>
              </w:rPr>
              <w:t xml:space="preserve">) </w:t>
            </w:r>
            <w:r w:rsidRPr="00AE47A3">
              <w:rPr>
                <w:rFonts w:ascii="Garamond" w:hAnsi="Garamond"/>
                <w:bCs/>
                <w:i/>
                <w:iCs/>
              </w:rPr>
              <w:t>The Law and Policy of the World Trade Organization, Chapter 13</w:t>
            </w:r>
          </w:p>
        </w:tc>
      </w:tr>
      <w:tr w:rsidR="00886971" w:rsidRPr="00AE47A3" w14:paraId="0B36C026" w14:textId="77777777" w:rsidTr="00AE47A3">
        <w:tc>
          <w:tcPr>
            <w:tcW w:w="1462" w:type="dxa"/>
          </w:tcPr>
          <w:p w14:paraId="5B3826A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Thurs.</w:t>
            </w:r>
          </w:p>
          <w:p w14:paraId="142F8AB2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7EE880B6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 – 17hrs</w:t>
            </w:r>
          </w:p>
        </w:tc>
        <w:tc>
          <w:tcPr>
            <w:tcW w:w="2786" w:type="dxa"/>
          </w:tcPr>
          <w:p w14:paraId="389ED335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Cs/>
              </w:rPr>
              <w:t>Special and Differential Treatment in the WTO</w:t>
            </w:r>
          </w:p>
          <w:p w14:paraId="4019734B" w14:textId="77777777" w:rsidR="00886971" w:rsidRPr="00BD1F7E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strike/>
              </w:rPr>
            </w:pPr>
          </w:p>
        </w:tc>
        <w:tc>
          <w:tcPr>
            <w:tcW w:w="6520" w:type="dxa"/>
          </w:tcPr>
          <w:p w14:paraId="26EC24CD" w14:textId="6163B484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Review of Special and Differential Treatment Provisions under WTO Law.</w:t>
            </w:r>
          </w:p>
          <w:p w14:paraId="0F6863BB" w14:textId="410AFB99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strike/>
              </w:rPr>
            </w:pPr>
            <w:r w:rsidRPr="00AE47A3">
              <w:rPr>
                <w:rFonts w:ascii="Garamond" w:hAnsi="Garamond"/>
              </w:rPr>
              <w:t xml:space="preserve">Analysis of Special and Differential Treatment provisions and challenges associated with them from the perspective of LDCs and Sub-Saharan African Countries. </w:t>
            </w:r>
          </w:p>
        </w:tc>
        <w:tc>
          <w:tcPr>
            <w:tcW w:w="2897" w:type="dxa"/>
          </w:tcPr>
          <w:p w14:paraId="32C6AF10" w14:textId="7015F41E" w:rsidR="00886971" w:rsidRPr="00AE47A3" w:rsidRDefault="00AC3857" w:rsidP="00AE47A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trike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 xml:space="preserve">17) </w:t>
            </w:r>
            <w:r w:rsidRPr="00BE3ECA">
              <w:rPr>
                <w:rFonts w:ascii="Garamond" w:hAnsi="Garamond"/>
                <w:i/>
              </w:rPr>
              <w:t>The World Trade Organization: Law, Pra</w:t>
            </w:r>
            <w:r w:rsidRPr="00AE47A3">
              <w:rPr>
                <w:rFonts w:ascii="Garamond" w:hAnsi="Garamond"/>
                <w:i/>
              </w:rPr>
              <w:t>ctice and Policy. Chapter 19.</w:t>
            </w:r>
            <w:r w:rsidRPr="00AE47A3" w:rsidDel="004934A5">
              <w:rPr>
                <w:rFonts w:ascii="Garamond" w:hAnsi="Garamond"/>
              </w:rPr>
              <w:t xml:space="preserve"> </w:t>
            </w:r>
          </w:p>
        </w:tc>
      </w:tr>
      <w:tr w:rsidR="00886971" w:rsidRPr="00AE47A3" w14:paraId="30AF6F64" w14:textId="77777777" w:rsidTr="00AE47A3">
        <w:trPr>
          <w:trHeight w:val="983"/>
        </w:trPr>
        <w:tc>
          <w:tcPr>
            <w:tcW w:w="1462" w:type="dxa"/>
          </w:tcPr>
          <w:p w14:paraId="4E76224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Friday</w:t>
            </w:r>
          </w:p>
          <w:p w14:paraId="250E120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Morning</w:t>
            </w:r>
          </w:p>
          <w:p w14:paraId="27D56EC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 – 13hrs</w:t>
            </w:r>
          </w:p>
        </w:tc>
        <w:tc>
          <w:tcPr>
            <w:tcW w:w="2786" w:type="dxa"/>
          </w:tcPr>
          <w:p w14:paraId="4207ADE5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Cs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Cs/>
              </w:rPr>
              <w:t>Special and Differential Treatment in the WTO</w:t>
            </w:r>
          </w:p>
          <w:p w14:paraId="3BA70FB8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520" w:type="dxa"/>
          </w:tcPr>
          <w:p w14:paraId="3034B50B" w14:textId="77777777" w:rsidR="003B7A44" w:rsidRDefault="00886971" w:rsidP="003B7A4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 xml:space="preserve">Analysis of Special and Differential Treatment provisions and challenges associated with them from the perspective of LDCs and Sub-Saharan African Countries. </w:t>
            </w:r>
          </w:p>
          <w:p w14:paraId="604ED174" w14:textId="77777777" w:rsidR="003B7A44" w:rsidRDefault="003B7A44" w:rsidP="003B7A4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D3295B9" w14:textId="71122628" w:rsidR="003B7A44" w:rsidRDefault="00886971" w:rsidP="003B7A44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Review of WTO LDCs and Africa Groups proposals on SDT including in the latest WTO ministerial Conference</w:t>
            </w:r>
            <w:r w:rsidR="003B7A44">
              <w:rPr>
                <w:rFonts w:ascii="Garamond" w:hAnsi="Garamond"/>
              </w:rPr>
              <w:t>:</w:t>
            </w:r>
          </w:p>
          <w:p w14:paraId="27059307" w14:textId="06E77392" w:rsidR="003B7A44" w:rsidRDefault="00B7325B" w:rsidP="003B7A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Garamond" w:hAnsi="Garamond"/>
              </w:rPr>
            </w:pPr>
            <w:r w:rsidRPr="003B7A44">
              <w:rPr>
                <w:rFonts w:ascii="Garamond" w:hAnsi="Garamond"/>
              </w:rPr>
              <w:t xml:space="preserve"> </w:t>
            </w:r>
            <w:r w:rsidR="003B7A44" w:rsidRPr="003B7A44">
              <w:rPr>
                <w:rFonts w:ascii="Garamond" w:hAnsi="Garamond"/>
              </w:rPr>
              <w:t>The</w:t>
            </w:r>
            <w:r w:rsidRPr="003B7A44">
              <w:rPr>
                <w:rFonts w:ascii="Garamond" w:hAnsi="Garamond"/>
              </w:rPr>
              <w:t xml:space="preserve"> G90 </w:t>
            </w:r>
            <w:r w:rsidR="003B7A44" w:rsidRPr="00423D37">
              <w:rPr>
                <w:rFonts w:ascii="Garamond" w:hAnsi="Garamond"/>
              </w:rPr>
              <w:t>25</w:t>
            </w:r>
            <w:r w:rsidR="003B7A44">
              <w:rPr>
                <w:rFonts w:ascii="Garamond" w:hAnsi="Garamond"/>
              </w:rPr>
              <w:t xml:space="preserve"> </w:t>
            </w:r>
            <w:r w:rsidRPr="003B7A44">
              <w:rPr>
                <w:rFonts w:ascii="Garamond" w:hAnsi="Garamond"/>
              </w:rPr>
              <w:t>agreement-specific proposals and the arguments advanced by the opposing side</w:t>
            </w:r>
          </w:p>
          <w:p w14:paraId="1312E468" w14:textId="66B67B9A" w:rsidR="00886971" w:rsidRPr="003B7A44" w:rsidRDefault="00886971" w:rsidP="003B7A44">
            <w:pPr>
              <w:jc w:val="both"/>
              <w:rPr>
                <w:rFonts w:ascii="Garamond" w:hAnsi="Garamond"/>
              </w:rPr>
            </w:pPr>
            <w:r w:rsidRPr="003B7A44">
              <w:rPr>
                <w:rFonts w:ascii="Garamond" w:hAnsi="Garamond"/>
              </w:rPr>
              <w:t>Conclusion and Revision, (Lecturer to administer post session assignment.)</w:t>
            </w:r>
          </w:p>
        </w:tc>
        <w:tc>
          <w:tcPr>
            <w:tcW w:w="2897" w:type="dxa"/>
          </w:tcPr>
          <w:p w14:paraId="56D12619" w14:textId="75803410" w:rsidR="00886971" w:rsidRPr="00AE47A3" w:rsidRDefault="00AC3857" w:rsidP="00AE47A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>1</w:t>
            </w:r>
            <w:r w:rsidR="00BE3ECA">
              <w:rPr>
                <w:rFonts w:ascii="Garamond" w:hAnsi="Garamond"/>
              </w:rPr>
              <w:t>7</w:t>
            </w:r>
            <w:r w:rsidRPr="00BE3ECA">
              <w:rPr>
                <w:rFonts w:ascii="Garamond" w:hAnsi="Garamond"/>
              </w:rPr>
              <w:t xml:space="preserve">) </w:t>
            </w:r>
            <w:r w:rsidRPr="00BE3ECA">
              <w:rPr>
                <w:rFonts w:ascii="Garamond" w:hAnsi="Garamond"/>
                <w:i/>
              </w:rPr>
              <w:t>The World Trade Organization: Law, Practice and Policy.</w:t>
            </w:r>
            <w:r w:rsidRPr="00AE47A3" w:rsidDel="004934A5">
              <w:rPr>
                <w:rFonts w:ascii="Garamond" w:hAnsi="Garamond"/>
              </w:rPr>
              <w:t xml:space="preserve"> </w:t>
            </w:r>
            <w:r w:rsidRPr="00AE47A3">
              <w:rPr>
                <w:rFonts w:ascii="Garamond" w:hAnsi="Garamond"/>
              </w:rPr>
              <w:t>Chapter 19</w:t>
            </w:r>
          </w:p>
        </w:tc>
      </w:tr>
      <w:tr w:rsidR="00886971" w:rsidRPr="00AE47A3" w14:paraId="483FB369" w14:textId="77777777" w:rsidTr="00AE47A3">
        <w:trPr>
          <w:trHeight w:val="1695"/>
        </w:trPr>
        <w:tc>
          <w:tcPr>
            <w:tcW w:w="1462" w:type="dxa"/>
          </w:tcPr>
          <w:p w14:paraId="55510ECB" w14:textId="38A6AA4E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Friday</w:t>
            </w:r>
          </w:p>
          <w:p w14:paraId="21B155D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Afternoon</w:t>
            </w:r>
          </w:p>
          <w:p w14:paraId="2B360520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14:00 – 17hrs</w:t>
            </w:r>
          </w:p>
          <w:p w14:paraId="526F5A11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86" w:type="dxa"/>
          </w:tcPr>
          <w:p w14:paraId="14DF15EB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strike/>
              </w:rPr>
            </w:pPr>
            <w:r w:rsidRPr="00AE47A3">
              <w:rPr>
                <w:rFonts w:ascii="Garamond" w:hAnsi="Garamond"/>
              </w:rPr>
              <w:t>WTO Plurilateral Agreements</w:t>
            </w:r>
            <w:r w:rsidRPr="00AE47A3" w:rsidDel="00565013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6520" w:type="dxa"/>
          </w:tcPr>
          <w:p w14:paraId="2F99404E" w14:textId="766D4F79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>A</w:t>
            </w:r>
            <w:r w:rsidR="00D604CD" w:rsidRPr="00AE47A3">
              <w:rPr>
                <w:rFonts w:ascii="Garamond" w:hAnsi="Garamond"/>
              </w:rPr>
              <w:t>nalysis of the Government Procurement A</w:t>
            </w:r>
            <w:r w:rsidRPr="00AE47A3">
              <w:rPr>
                <w:rFonts w:ascii="Garamond" w:hAnsi="Garamond"/>
              </w:rPr>
              <w:t>greements and the relevant case law</w:t>
            </w:r>
          </w:p>
          <w:p w14:paraId="596C24C5" w14:textId="0212FD30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E47A3">
              <w:rPr>
                <w:rFonts w:ascii="Garamond" w:hAnsi="Garamond"/>
              </w:rPr>
              <w:t xml:space="preserve">Analysis of potential Plurilateral Agreements </w:t>
            </w:r>
            <w:r w:rsidRPr="00730F47">
              <w:rPr>
                <w:rFonts w:ascii="Garamond" w:hAnsi="Garamond"/>
              </w:rPr>
              <w:t>under negotiations</w:t>
            </w:r>
            <w:r w:rsidR="00D604CD" w:rsidRPr="00730F47">
              <w:rPr>
                <w:rFonts w:ascii="Garamond" w:hAnsi="Garamond"/>
              </w:rPr>
              <w:t xml:space="preserve"> (</w:t>
            </w:r>
            <w:r w:rsidR="00D62741" w:rsidRPr="00730F47">
              <w:rPr>
                <w:rFonts w:ascii="Garamond" w:hAnsi="Garamond"/>
              </w:rPr>
              <w:t>, MSMES, e-commerce and investment facilitation</w:t>
            </w:r>
            <w:r w:rsidR="00D604CD" w:rsidRPr="00730F47">
              <w:rPr>
                <w:rFonts w:ascii="Garamond" w:hAnsi="Garamond"/>
              </w:rPr>
              <w:t>)</w:t>
            </w:r>
          </w:p>
          <w:p w14:paraId="392B6BF4" w14:textId="4A52B56F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hAnsi="Garamond"/>
                <w:strike/>
              </w:rPr>
            </w:pPr>
            <w:r w:rsidRPr="00AE47A3">
              <w:rPr>
                <w:rFonts w:ascii="Garamond" w:hAnsi="Garamond"/>
              </w:rPr>
              <w:t>Implications of the Plurilateral Agreements for LDCs and Sub-Saharan African Countries</w:t>
            </w:r>
            <w:r w:rsidRPr="00AE47A3">
              <w:rPr>
                <w:rFonts w:ascii="Garamond" w:hAnsi="Garamond" w:cs="Arial"/>
              </w:rPr>
              <w:t xml:space="preserve"> and consideration of their relationship to current developments in the world economy, and multilateral trading system.</w:t>
            </w:r>
          </w:p>
        </w:tc>
        <w:tc>
          <w:tcPr>
            <w:tcW w:w="2897" w:type="dxa"/>
          </w:tcPr>
          <w:p w14:paraId="731A0506" w14:textId="7DDBFB99" w:rsidR="00886971" w:rsidRPr="00AE47A3" w:rsidRDefault="00AC3857" w:rsidP="00AE47A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trike/>
              </w:rPr>
            </w:pPr>
            <w:proofErr w:type="spellStart"/>
            <w:r w:rsidRPr="00BD1F7E">
              <w:rPr>
                <w:rFonts w:ascii="Garamond" w:hAnsi="Garamond"/>
              </w:rPr>
              <w:t>Mitsuo</w:t>
            </w:r>
            <w:proofErr w:type="spellEnd"/>
            <w:r w:rsidRPr="00BD1F7E">
              <w:rPr>
                <w:rFonts w:ascii="Garamond" w:hAnsi="Garamond"/>
              </w:rPr>
              <w:t xml:space="preserve"> Matsushita, Thomas J. </w:t>
            </w:r>
            <w:proofErr w:type="spellStart"/>
            <w:r w:rsidRPr="00BD1F7E">
              <w:rPr>
                <w:rFonts w:ascii="Garamond" w:hAnsi="Garamond"/>
              </w:rPr>
              <w:t>Schoenbaum</w:t>
            </w:r>
            <w:proofErr w:type="spellEnd"/>
            <w:r w:rsidRPr="00BD1F7E">
              <w:rPr>
                <w:rFonts w:ascii="Garamond" w:hAnsi="Garamond"/>
              </w:rPr>
              <w:t xml:space="preserve"> &amp; Petros C. Mavroidis (20</w:t>
            </w:r>
            <w:r w:rsidRPr="00BE3ECA">
              <w:rPr>
                <w:rFonts w:ascii="Garamond" w:hAnsi="Garamond"/>
              </w:rPr>
              <w:t>1</w:t>
            </w:r>
            <w:r w:rsidR="00BE3ECA">
              <w:rPr>
                <w:rFonts w:ascii="Garamond" w:hAnsi="Garamond"/>
              </w:rPr>
              <w:t>7</w:t>
            </w:r>
            <w:r w:rsidRPr="00BE3ECA">
              <w:rPr>
                <w:rFonts w:ascii="Garamond" w:hAnsi="Garamond"/>
              </w:rPr>
              <w:t xml:space="preserve">) </w:t>
            </w:r>
            <w:r w:rsidRPr="00BE3ECA">
              <w:rPr>
                <w:rFonts w:ascii="Garamond" w:hAnsi="Garamond"/>
                <w:i/>
              </w:rPr>
              <w:t>The World Trade Organization: Law, Practice and Policy. Chapter 18</w:t>
            </w:r>
            <w:r w:rsidR="00D604CD" w:rsidRPr="00AE47A3">
              <w:rPr>
                <w:rFonts w:ascii="Garamond" w:hAnsi="Garamond" w:cs="Arial"/>
              </w:rPr>
              <w:t xml:space="preserve"> and Chapter 20</w:t>
            </w:r>
          </w:p>
        </w:tc>
      </w:tr>
      <w:tr w:rsidR="00886971" w:rsidRPr="00AE47A3" w14:paraId="75EBA69B" w14:textId="77777777" w:rsidTr="00AE47A3">
        <w:trPr>
          <w:trHeight w:val="148"/>
        </w:trPr>
        <w:tc>
          <w:tcPr>
            <w:tcW w:w="1462" w:type="dxa"/>
          </w:tcPr>
          <w:p w14:paraId="4ED2A347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Sat Morning</w:t>
            </w:r>
          </w:p>
          <w:p w14:paraId="01CEB65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b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>9am-10:30am</w:t>
            </w:r>
          </w:p>
        </w:tc>
        <w:tc>
          <w:tcPr>
            <w:tcW w:w="2786" w:type="dxa"/>
          </w:tcPr>
          <w:p w14:paraId="7236998C" w14:textId="77777777" w:rsidR="00886971" w:rsidRPr="00AE47A3" w:rsidRDefault="00886971" w:rsidP="00AE47A3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</w:rPr>
              <w:t>Final exam (90 mins)</w:t>
            </w:r>
          </w:p>
        </w:tc>
        <w:tc>
          <w:tcPr>
            <w:tcW w:w="6520" w:type="dxa"/>
          </w:tcPr>
          <w:p w14:paraId="33AD7D8F" w14:textId="4AC631F9" w:rsidR="00886971" w:rsidRPr="00AE47A3" w:rsidRDefault="00886971" w:rsidP="003B7A44">
            <w:pPr>
              <w:spacing w:after="0" w:line="240" w:lineRule="auto"/>
              <w:jc w:val="both"/>
              <w:rPr>
                <w:rFonts w:ascii="Garamond" w:eastAsiaTheme="majorEastAsia" w:hAnsi="Garamond" w:cstheme="majorBidi"/>
                <w:i/>
                <w:iCs/>
                <w:color w:val="1F3763" w:themeColor="accent1" w:themeShade="7F"/>
              </w:rPr>
            </w:pPr>
            <w:r w:rsidRPr="00AE47A3">
              <w:rPr>
                <w:rFonts w:ascii="Garamond" w:hAnsi="Garamond"/>
                <w:b/>
              </w:rPr>
              <w:t xml:space="preserve">Faculty to mark exam scripts </w:t>
            </w:r>
          </w:p>
        </w:tc>
        <w:tc>
          <w:tcPr>
            <w:tcW w:w="2897" w:type="dxa"/>
          </w:tcPr>
          <w:p w14:paraId="21B69E82" w14:textId="77777777" w:rsidR="00886971" w:rsidRPr="00AE47A3" w:rsidRDefault="00886971" w:rsidP="00AE47A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</w:p>
        </w:tc>
      </w:tr>
    </w:tbl>
    <w:p w14:paraId="1D6F7C9B" w14:textId="77777777" w:rsidR="006E0AFC" w:rsidRDefault="006E0AFC"/>
    <w:sectPr w:rsidR="006E0AFC" w:rsidSect="006E0A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C361" w14:textId="77777777" w:rsidR="003B7A44" w:rsidRDefault="003B7A44" w:rsidP="006E0AFC">
      <w:pPr>
        <w:spacing w:after="0" w:line="240" w:lineRule="auto"/>
      </w:pPr>
      <w:r>
        <w:separator/>
      </w:r>
    </w:p>
  </w:endnote>
  <w:endnote w:type="continuationSeparator" w:id="0">
    <w:p w14:paraId="5598D482" w14:textId="77777777" w:rsidR="003B7A44" w:rsidRDefault="003B7A44" w:rsidP="006E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E992" w14:textId="77777777" w:rsidR="003B7A44" w:rsidRDefault="003B7A44" w:rsidP="006E0AFC">
      <w:pPr>
        <w:spacing w:after="0" w:line="240" w:lineRule="auto"/>
      </w:pPr>
      <w:r>
        <w:separator/>
      </w:r>
    </w:p>
  </w:footnote>
  <w:footnote w:type="continuationSeparator" w:id="0">
    <w:p w14:paraId="22ACB65F" w14:textId="77777777" w:rsidR="003B7A44" w:rsidRDefault="003B7A44" w:rsidP="006E0AFC">
      <w:pPr>
        <w:spacing w:after="0" w:line="240" w:lineRule="auto"/>
      </w:pPr>
      <w:r>
        <w:continuationSeparator/>
      </w:r>
    </w:p>
  </w:footnote>
  <w:footnote w:id="1">
    <w:p w14:paraId="363CFD39" w14:textId="77777777" w:rsidR="003B7A44" w:rsidRDefault="003B7A44" w:rsidP="006E0A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2D59">
        <w:rPr>
          <w:sz w:val="20"/>
          <w:szCs w:val="20"/>
        </w:rPr>
        <w:t>It should be noted that the basics of the principle</w:t>
      </w:r>
      <w:r>
        <w:rPr>
          <w:sz w:val="20"/>
          <w:szCs w:val="20"/>
        </w:rPr>
        <w:t xml:space="preserve">s </w:t>
      </w:r>
      <w:r w:rsidRPr="00EA2D59">
        <w:rPr>
          <w:sz w:val="20"/>
          <w:szCs w:val="20"/>
        </w:rPr>
        <w:t>of MFN</w:t>
      </w:r>
      <w:r>
        <w:rPr>
          <w:sz w:val="20"/>
          <w:szCs w:val="20"/>
        </w:rPr>
        <w:t xml:space="preserve"> and National Treatment as well as exceptions have</w:t>
      </w:r>
      <w:r w:rsidRPr="00EA2D59">
        <w:rPr>
          <w:sz w:val="20"/>
          <w:szCs w:val="20"/>
        </w:rPr>
        <w:t xml:space="preserve"> already been introduced in the prerequisite courses. Therefore, focus should be on substantive</w:t>
      </w:r>
      <w:r>
        <w:rPr>
          <w:sz w:val="20"/>
          <w:szCs w:val="20"/>
        </w:rPr>
        <w:t xml:space="preserve"> and implementation related</w:t>
      </w:r>
      <w:r w:rsidRPr="00EA2D59">
        <w:rPr>
          <w:sz w:val="20"/>
          <w:szCs w:val="20"/>
        </w:rPr>
        <w:t xml:space="preserve"> elements of the principle</w:t>
      </w:r>
      <w:r>
        <w:rPr>
          <w:sz w:val="20"/>
          <w:szCs w:val="20"/>
        </w:rPr>
        <w:t>s and the exceptions</w:t>
      </w:r>
      <w:r w:rsidRPr="00EA2D59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D1"/>
    <w:multiLevelType w:val="hybridMultilevel"/>
    <w:tmpl w:val="24424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3A64"/>
    <w:multiLevelType w:val="hybridMultilevel"/>
    <w:tmpl w:val="AAAC1BD2"/>
    <w:lvl w:ilvl="0" w:tplc="C532B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40225"/>
    <w:multiLevelType w:val="hybridMultilevel"/>
    <w:tmpl w:val="E10648A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0C1"/>
    <w:multiLevelType w:val="hybridMultilevel"/>
    <w:tmpl w:val="1A8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C95"/>
    <w:multiLevelType w:val="hybridMultilevel"/>
    <w:tmpl w:val="DF3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9D1"/>
    <w:multiLevelType w:val="hybridMultilevel"/>
    <w:tmpl w:val="E7C8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1A95"/>
    <w:multiLevelType w:val="hybridMultilevel"/>
    <w:tmpl w:val="D6EE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7D4"/>
    <w:multiLevelType w:val="hybridMultilevel"/>
    <w:tmpl w:val="EA0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54C5"/>
    <w:multiLevelType w:val="hybridMultilevel"/>
    <w:tmpl w:val="EF00576C"/>
    <w:lvl w:ilvl="0" w:tplc="540CA2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1682583"/>
    <w:multiLevelType w:val="hybridMultilevel"/>
    <w:tmpl w:val="ADB474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436B2B"/>
    <w:multiLevelType w:val="hybridMultilevel"/>
    <w:tmpl w:val="E10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3B15"/>
    <w:multiLevelType w:val="hybridMultilevel"/>
    <w:tmpl w:val="C2CA7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70E8"/>
    <w:multiLevelType w:val="hybridMultilevel"/>
    <w:tmpl w:val="1FEC00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21F4D"/>
    <w:multiLevelType w:val="hybridMultilevel"/>
    <w:tmpl w:val="2C2C025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2756"/>
    <w:multiLevelType w:val="hybridMultilevel"/>
    <w:tmpl w:val="FF40FF4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6773A"/>
    <w:multiLevelType w:val="hybridMultilevel"/>
    <w:tmpl w:val="7966A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F6A47"/>
    <w:multiLevelType w:val="hybridMultilevel"/>
    <w:tmpl w:val="0260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B1485"/>
    <w:multiLevelType w:val="hybridMultilevel"/>
    <w:tmpl w:val="E2FA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6301E"/>
    <w:multiLevelType w:val="hybridMultilevel"/>
    <w:tmpl w:val="3ED258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6179B"/>
    <w:multiLevelType w:val="hybridMultilevel"/>
    <w:tmpl w:val="93B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5"/>
  </w:num>
  <w:num w:numId="6">
    <w:abstractNumId w:val="18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C"/>
    <w:rsid w:val="0008500A"/>
    <w:rsid w:val="0012369E"/>
    <w:rsid w:val="0013288B"/>
    <w:rsid w:val="00144397"/>
    <w:rsid w:val="001B01C2"/>
    <w:rsid w:val="0022424E"/>
    <w:rsid w:val="002330ED"/>
    <w:rsid w:val="00291F3A"/>
    <w:rsid w:val="002F3916"/>
    <w:rsid w:val="00305F6D"/>
    <w:rsid w:val="003100D1"/>
    <w:rsid w:val="0031159E"/>
    <w:rsid w:val="0033561E"/>
    <w:rsid w:val="003447BD"/>
    <w:rsid w:val="003627EF"/>
    <w:rsid w:val="003653F8"/>
    <w:rsid w:val="003B2834"/>
    <w:rsid w:val="003B7A44"/>
    <w:rsid w:val="003E3A59"/>
    <w:rsid w:val="003F1C44"/>
    <w:rsid w:val="00465B5C"/>
    <w:rsid w:val="004934A5"/>
    <w:rsid w:val="004B0BFF"/>
    <w:rsid w:val="005700CE"/>
    <w:rsid w:val="0057715F"/>
    <w:rsid w:val="006A11E1"/>
    <w:rsid w:val="006C57F8"/>
    <w:rsid w:val="006E0AFC"/>
    <w:rsid w:val="006F507E"/>
    <w:rsid w:val="00710A3B"/>
    <w:rsid w:val="00717E0B"/>
    <w:rsid w:val="00730F47"/>
    <w:rsid w:val="0075154F"/>
    <w:rsid w:val="00792CD5"/>
    <w:rsid w:val="00795796"/>
    <w:rsid w:val="007B53AB"/>
    <w:rsid w:val="007C24C1"/>
    <w:rsid w:val="00825430"/>
    <w:rsid w:val="008741A5"/>
    <w:rsid w:val="00886971"/>
    <w:rsid w:val="008B6F58"/>
    <w:rsid w:val="00945164"/>
    <w:rsid w:val="009A22E1"/>
    <w:rsid w:val="009B2BF3"/>
    <w:rsid w:val="00A55F24"/>
    <w:rsid w:val="00AC3857"/>
    <w:rsid w:val="00AD6042"/>
    <w:rsid w:val="00AE47A3"/>
    <w:rsid w:val="00AF6398"/>
    <w:rsid w:val="00B626DD"/>
    <w:rsid w:val="00B71DB5"/>
    <w:rsid w:val="00B7325B"/>
    <w:rsid w:val="00B83A9C"/>
    <w:rsid w:val="00BC4F1D"/>
    <w:rsid w:val="00BD1F7E"/>
    <w:rsid w:val="00BE3ECA"/>
    <w:rsid w:val="00D604CD"/>
    <w:rsid w:val="00D62741"/>
    <w:rsid w:val="00D9082B"/>
    <w:rsid w:val="00EE39E6"/>
    <w:rsid w:val="00F043F6"/>
    <w:rsid w:val="00F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3A726"/>
  <w15:docId w15:val="{638209DD-4BF8-430B-8B81-8DEDECF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0A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AF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rsid w:val="006E0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6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E0A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6E0AFC"/>
    <w:rPr>
      <w:vertAlign w:val="superscript"/>
    </w:rPr>
  </w:style>
  <w:style w:type="character" w:customStyle="1" w:styleId="al-author-name">
    <w:name w:val="al-author-name"/>
    <w:basedOn w:val="DefaultParagraphFont"/>
    <w:rsid w:val="006E0AFC"/>
  </w:style>
  <w:style w:type="character" w:customStyle="1" w:styleId="apple-converted-space">
    <w:name w:val="apple-converted-space"/>
    <w:basedOn w:val="DefaultParagraphFont"/>
    <w:rsid w:val="006E0AFC"/>
  </w:style>
  <w:style w:type="character" w:customStyle="1" w:styleId="Heading2Char">
    <w:name w:val="Heading 2 Char"/>
    <w:basedOn w:val="DefaultParagraphFont"/>
    <w:link w:val="Heading2"/>
    <w:uiPriority w:val="9"/>
    <w:semiHidden/>
    <w:rsid w:val="00945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398"/>
    <w:pPr>
      <w:spacing w:after="0" w:line="240" w:lineRule="auto"/>
    </w:pPr>
  </w:style>
  <w:style w:type="paragraph" w:styleId="Footer">
    <w:name w:val="footer"/>
    <w:basedOn w:val="Normal"/>
    <w:link w:val="FooterChar"/>
    <w:rsid w:val="00AF63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F6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65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653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10590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Falck</dc:creator>
  <cp:lastModifiedBy>King'ori, Queen</cp:lastModifiedBy>
  <cp:revision>2</cp:revision>
  <dcterms:created xsi:type="dcterms:W3CDTF">2019-07-17T13:37:00Z</dcterms:created>
  <dcterms:modified xsi:type="dcterms:W3CDTF">2019-07-17T13:37:00Z</dcterms:modified>
</cp:coreProperties>
</file>