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62" w:rsidRDefault="00926764" w:rsidP="00890762">
      <w:pPr>
        <w:pStyle w:val="Title"/>
        <w:spacing w:line="360" w:lineRule="auto"/>
        <w:rPr>
          <w:sz w:val="20"/>
          <w:szCs w:val="20"/>
          <w:lang w:val="es-ES"/>
        </w:rPr>
      </w:pPr>
      <w:r w:rsidRPr="00B749B1">
        <w:rPr>
          <w:sz w:val="20"/>
          <w:szCs w:val="20"/>
          <w:lang w:val="es-ES"/>
        </w:rPr>
        <w:t>curso avanzado de solución de diferencias</w:t>
      </w:r>
      <w:r w:rsidR="00894BE6" w:rsidRPr="00B749B1">
        <w:rPr>
          <w:sz w:val="20"/>
          <w:szCs w:val="20"/>
          <w:lang w:val="es-ES"/>
        </w:rPr>
        <w:t xml:space="preserve"> de la </w:t>
      </w:r>
      <w:r w:rsidR="00CB7D71">
        <w:rPr>
          <w:sz w:val="20"/>
          <w:szCs w:val="20"/>
          <w:lang w:val="es-ES"/>
        </w:rPr>
        <w:t>organización mundial del comerci</w:t>
      </w:r>
      <w:r w:rsidR="00CF66A3">
        <w:rPr>
          <w:sz w:val="20"/>
          <w:szCs w:val="20"/>
          <w:lang w:val="es-ES"/>
        </w:rPr>
        <w:t>O</w:t>
      </w:r>
      <w:r w:rsidR="00CB7D71">
        <w:rPr>
          <w:sz w:val="20"/>
          <w:szCs w:val="20"/>
          <w:lang w:val="es-ES"/>
        </w:rPr>
        <w:t xml:space="preserve"> (O</w:t>
      </w:r>
      <w:r w:rsidR="00894BE6" w:rsidRPr="00B749B1">
        <w:rPr>
          <w:sz w:val="20"/>
          <w:szCs w:val="20"/>
          <w:lang w:val="es-ES"/>
        </w:rPr>
        <w:t>MC</w:t>
      </w:r>
      <w:r w:rsidR="00CB7D71">
        <w:rPr>
          <w:sz w:val="20"/>
          <w:szCs w:val="20"/>
          <w:lang w:val="es-ES"/>
        </w:rPr>
        <w:t>)</w:t>
      </w:r>
    </w:p>
    <w:p w:rsidR="00926764" w:rsidRPr="00B749B1" w:rsidRDefault="00926764" w:rsidP="00890762">
      <w:pPr>
        <w:pStyle w:val="Title"/>
        <w:spacing w:line="360" w:lineRule="auto"/>
        <w:rPr>
          <w:rFonts w:eastAsia="Calibri" w:cs="Times New Roman"/>
          <w:b w:val="0"/>
          <w:kern w:val="0"/>
          <w:sz w:val="20"/>
          <w:szCs w:val="20"/>
          <w:lang w:val="es-ES" w:eastAsia="en-GB"/>
        </w:rPr>
      </w:pPr>
      <w:r w:rsidRPr="00B749B1">
        <w:rPr>
          <w:rFonts w:eastAsia="Calibri" w:cs="Times New Roman"/>
          <w:b w:val="0"/>
          <w:kern w:val="0"/>
          <w:sz w:val="20"/>
          <w:szCs w:val="20"/>
          <w:lang w:val="es-ES" w:eastAsia="en-GB"/>
        </w:rPr>
        <w:t>4-</w:t>
      </w:r>
      <w:r w:rsidR="00291287" w:rsidRPr="00B749B1">
        <w:rPr>
          <w:rFonts w:eastAsia="Calibri" w:cs="Times New Roman"/>
          <w:b w:val="0"/>
          <w:kern w:val="0"/>
          <w:sz w:val="20"/>
          <w:szCs w:val="20"/>
          <w:lang w:val="es-ES" w:eastAsia="en-GB"/>
        </w:rPr>
        <w:t>7</w:t>
      </w:r>
      <w:r w:rsidRPr="00B749B1">
        <w:rPr>
          <w:rFonts w:eastAsia="Calibri" w:cs="Times New Roman"/>
          <w:b w:val="0"/>
          <w:kern w:val="0"/>
          <w:sz w:val="20"/>
          <w:szCs w:val="20"/>
          <w:lang w:val="es-ES" w:eastAsia="en-GB"/>
        </w:rPr>
        <w:t xml:space="preserve"> de noviembre de 2019, buenos aires, argentina</w:t>
      </w:r>
    </w:p>
    <w:p w:rsidR="00CB7D71" w:rsidRDefault="00CB7D71" w:rsidP="00EA4543">
      <w:pPr>
        <w:pStyle w:val="Title"/>
        <w:spacing w:line="360" w:lineRule="auto"/>
        <w:rPr>
          <w:color w:val="FF0000"/>
          <w:sz w:val="20"/>
          <w:szCs w:val="20"/>
          <w:lang w:val="es-ES_tradnl"/>
        </w:rPr>
      </w:pPr>
    </w:p>
    <w:p w:rsidR="00EA5518" w:rsidRPr="00B749B1" w:rsidRDefault="00EA5518" w:rsidP="00EA4543">
      <w:pPr>
        <w:pStyle w:val="Title"/>
        <w:spacing w:line="360" w:lineRule="auto"/>
        <w:rPr>
          <w:color w:val="FF0000"/>
          <w:sz w:val="20"/>
          <w:szCs w:val="20"/>
          <w:lang w:val="es-ES_tradnl"/>
        </w:rPr>
      </w:pPr>
      <w:r w:rsidRPr="00B749B1">
        <w:rPr>
          <w:color w:val="FF0000"/>
          <w:sz w:val="20"/>
          <w:szCs w:val="20"/>
          <w:lang w:val="es-ES_tradnl"/>
        </w:rPr>
        <w:t>PROGRAMA</w:t>
      </w:r>
      <w:r w:rsidR="003361B7" w:rsidRPr="00B749B1">
        <w:rPr>
          <w:color w:val="FF0000"/>
          <w:sz w:val="20"/>
          <w:szCs w:val="20"/>
          <w:lang w:val="es-ES_tradnl"/>
        </w:rPr>
        <w:t xml:space="preserve"> </w:t>
      </w:r>
    </w:p>
    <w:p w:rsidR="00B749B1" w:rsidRDefault="00B749B1" w:rsidP="00EA4543">
      <w:pPr>
        <w:spacing w:line="360" w:lineRule="auto"/>
        <w:rPr>
          <w:sz w:val="20"/>
          <w:szCs w:val="20"/>
          <w:lang w:val="es-ES_tradnl"/>
        </w:rPr>
      </w:pPr>
    </w:p>
    <w:p w:rsidR="00890762" w:rsidRPr="00CB7D71" w:rsidRDefault="00890762" w:rsidP="00EA4543">
      <w:pPr>
        <w:spacing w:line="360" w:lineRule="auto"/>
        <w:rPr>
          <w:i/>
          <w:color w:val="365F91" w:themeColor="accent1" w:themeShade="BF"/>
          <w:sz w:val="20"/>
          <w:szCs w:val="20"/>
          <w:lang w:val="es-ES_tradnl"/>
        </w:rPr>
      </w:pPr>
      <w:r w:rsidRPr="00CB7D71">
        <w:rPr>
          <w:i/>
          <w:color w:val="365F91" w:themeColor="accent1" w:themeShade="BF"/>
          <w:sz w:val="20"/>
          <w:szCs w:val="20"/>
          <w:lang w:val="es-ES_tradnl"/>
        </w:rPr>
        <w:t xml:space="preserve">Ponentes: </w:t>
      </w:r>
      <w:r w:rsidR="00CB7D71" w:rsidRPr="00CB7D71">
        <w:rPr>
          <w:i/>
          <w:color w:val="365F91" w:themeColor="accent1" w:themeShade="BF"/>
          <w:sz w:val="20"/>
          <w:szCs w:val="20"/>
          <w:lang w:val="es-ES_tradnl"/>
        </w:rPr>
        <w:tab/>
      </w:r>
      <w:r w:rsidRPr="00CB7D71">
        <w:rPr>
          <w:i/>
          <w:color w:val="365F91" w:themeColor="accent1" w:themeShade="BF"/>
          <w:sz w:val="20"/>
          <w:szCs w:val="20"/>
          <w:lang w:val="es-ES_tradnl"/>
        </w:rPr>
        <w:t>María J. PEREYRA, Consejera Principal</w:t>
      </w:r>
      <w:r w:rsidR="00CB7D71" w:rsidRPr="00CB7D71">
        <w:rPr>
          <w:i/>
          <w:color w:val="365F91" w:themeColor="accent1" w:themeShade="BF"/>
          <w:sz w:val="20"/>
          <w:szCs w:val="20"/>
          <w:lang w:val="es-ES_tradnl"/>
        </w:rPr>
        <w:t>, División de Asuntos Jurídicos de la OMC</w:t>
      </w:r>
    </w:p>
    <w:p w:rsidR="00CB7D71" w:rsidRPr="00CB7D71" w:rsidRDefault="00CB7D71" w:rsidP="00EA4543">
      <w:pPr>
        <w:spacing w:line="360" w:lineRule="auto"/>
        <w:rPr>
          <w:i/>
          <w:color w:val="365F91" w:themeColor="accent1" w:themeShade="BF"/>
          <w:sz w:val="20"/>
          <w:szCs w:val="20"/>
          <w:lang w:val="es-ES_tradnl"/>
        </w:rPr>
      </w:pPr>
      <w:r w:rsidRPr="00CB7D71">
        <w:rPr>
          <w:i/>
          <w:color w:val="365F91" w:themeColor="accent1" w:themeShade="BF"/>
          <w:sz w:val="20"/>
          <w:szCs w:val="20"/>
          <w:lang w:val="es-ES_tradnl"/>
        </w:rPr>
        <w:tab/>
      </w:r>
      <w:r w:rsidRPr="00CB7D71">
        <w:rPr>
          <w:i/>
          <w:color w:val="365F91" w:themeColor="accent1" w:themeShade="BF"/>
          <w:sz w:val="20"/>
          <w:szCs w:val="20"/>
          <w:lang w:val="es-ES_tradnl"/>
        </w:rPr>
        <w:tab/>
        <w:t>Matthew D'O</w:t>
      </w:r>
      <w:r>
        <w:rPr>
          <w:i/>
          <w:color w:val="365F91" w:themeColor="accent1" w:themeShade="BF"/>
          <w:sz w:val="20"/>
          <w:szCs w:val="20"/>
          <w:lang w:val="es-ES_tradnl"/>
        </w:rPr>
        <w:t>RSI</w:t>
      </w:r>
      <w:r w:rsidRPr="00CB7D71">
        <w:rPr>
          <w:i/>
          <w:color w:val="365F91" w:themeColor="accent1" w:themeShade="BF"/>
          <w:sz w:val="20"/>
          <w:szCs w:val="20"/>
          <w:lang w:val="es-ES_tradnl"/>
        </w:rPr>
        <w:t>, Oficial Jurídico, División de Asuntos Jurídicos de la OMC</w:t>
      </w:r>
    </w:p>
    <w:p w:rsidR="00890762" w:rsidRPr="00B749B1" w:rsidRDefault="00890762" w:rsidP="00EA4543">
      <w:pPr>
        <w:spacing w:line="360" w:lineRule="auto"/>
        <w:rPr>
          <w:sz w:val="20"/>
          <w:szCs w:val="20"/>
          <w:lang w:val="es-ES_tradnl"/>
        </w:rPr>
      </w:pPr>
    </w:p>
    <w:p w:rsidR="00EA5518" w:rsidRPr="00B749B1" w:rsidRDefault="00EA5518" w:rsidP="00472D58">
      <w:pPr>
        <w:spacing w:line="360" w:lineRule="auto"/>
        <w:jc w:val="center"/>
        <w:rPr>
          <w:color w:val="FF0000"/>
          <w:sz w:val="20"/>
          <w:szCs w:val="20"/>
          <w:lang w:val="es-ES_tradnl"/>
        </w:rPr>
      </w:pPr>
      <w:bookmarkStart w:id="0" w:name="_Hlk20391868"/>
      <w:r w:rsidRPr="00B749B1">
        <w:rPr>
          <w:b/>
          <w:color w:val="FF0000"/>
          <w:sz w:val="20"/>
          <w:szCs w:val="20"/>
          <w:lang w:val="es-ES_tradnl"/>
        </w:rPr>
        <w:t>4 DE NOVIEMBRE DE 2019</w:t>
      </w:r>
    </w:p>
    <w:bookmarkEnd w:id="0"/>
    <w:p w:rsidR="00EA5518" w:rsidRPr="00B749B1" w:rsidRDefault="00EA5518" w:rsidP="00EA4543">
      <w:pPr>
        <w:spacing w:line="360" w:lineRule="auto"/>
        <w:jc w:val="left"/>
        <w:rPr>
          <w:color w:val="FF0000"/>
          <w:sz w:val="20"/>
          <w:szCs w:val="20"/>
          <w:lang w:val="es-ES_tradnl"/>
        </w:rPr>
      </w:pPr>
    </w:p>
    <w:p w:rsidR="00EA5518" w:rsidRPr="00B749B1" w:rsidRDefault="00700214" w:rsidP="00EA4543">
      <w:pPr>
        <w:pStyle w:val="Heading1"/>
        <w:spacing w:line="360" w:lineRule="auto"/>
        <w:rPr>
          <w:sz w:val="20"/>
          <w:szCs w:val="20"/>
          <w:lang w:val="es-ES_tradnl"/>
        </w:rPr>
      </w:pPr>
      <w:r w:rsidRPr="00B749B1">
        <w:rPr>
          <w:sz w:val="20"/>
          <w:szCs w:val="20"/>
          <w:lang w:val="es-ES_tradnl"/>
        </w:rPr>
        <w:t xml:space="preserve">INTRODUCCIÓN AL SISTEMA DE SOLUCIÓN DE DIFERENCIAS DE LA </w:t>
      </w:r>
      <w:r w:rsidR="00894BE6" w:rsidRPr="00B749B1">
        <w:rPr>
          <w:sz w:val="20"/>
          <w:szCs w:val="20"/>
          <w:lang w:val="es-ES_tradnl"/>
        </w:rPr>
        <w:t>omc</w:t>
      </w:r>
    </w:p>
    <w:p w:rsidR="00B676A4" w:rsidRDefault="007335C6" w:rsidP="00EA4543">
      <w:pPr>
        <w:pStyle w:val="SummaryText"/>
        <w:numPr>
          <w:ilvl w:val="0"/>
          <w:numId w:val="0"/>
        </w:numPr>
        <w:spacing w:line="360" w:lineRule="auto"/>
        <w:rPr>
          <w:sz w:val="20"/>
          <w:szCs w:val="20"/>
          <w:lang w:val="es-ES_tradnl"/>
        </w:rPr>
      </w:pPr>
      <w:r w:rsidRPr="00B749B1">
        <w:rPr>
          <w:sz w:val="20"/>
          <w:szCs w:val="20"/>
          <w:lang w:val="es-ES_tradnl"/>
        </w:rPr>
        <w:t xml:space="preserve">El presente curso es de nivel avanzado por lo que requiere </w:t>
      </w:r>
      <w:r w:rsidR="00680031" w:rsidRPr="00B749B1">
        <w:rPr>
          <w:sz w:val="20"/>
          <w:szCs w:val="20"/>
          <w:lang w:val="es-ES_tradnl"/>
        </w:rPr>
        <w:t xml:space="preserve">un conocimiento previo suficiente del sistema de solución de diferencias de la OMC. </w:t>
      </w:r>
      <w:r w:rsidR="00147787" w:rsidRPr="00B749B1">
        <w:rPr>
          <w:sz w:val="20"/>
          <w:szCs w:val="20"/>
          <w:lang w:val="es-ES_tradnl"/>
        </w:rPr>
        <w:t xml:space="preserve">De ahí que comencemos con un repaso de </w:t>
      </w:r>
      <w:r w:rsidR="00700214" w:rsidRPr="00B749B1">
        <w:rPr>
          <w:sz w:val="20"/>
          <w:szCs w:val="20"/>
          <w:lang w:val="es-ES_tradnl"/>
        </w:rPr>
        <w:t>las principales características</w:t>
      </w:r>
      <w:r w:rsidR="003361B7" w:rsidRPr="00B749B1">
        <w:rPr>
          <w:sz w:val="20"/>
          <w:szCs w:val="20"/>
          <w:lang w:val="es-ES_tradnl"/>
        </w:rPr>
        <w:t>, etapas y actores</w:t>
      </w:r>
      <w:r w:rsidR="00894BE6" w:rsidRPr="00B749B1">
        <w:rPr>
          <w:sz w:val="20"/>
          <w:szCs w:val="20"/>
          <w:lang w:val="es-ES_tradnl"/>
        </w:rPr>
        <w:t xml:space="preserve"> </w:t>
      </w:r>
      <w:r w:rsidR="00700214" w:rsidRPr="00B749B1">
        <w:rPr>
          <w:sz w:val="20"/>
          <w:szCs w:val="20"/>
          <w:lang w:val="es-ES_tradnl"/>
        </w:rPr>
        <w:t>del sistema</w:t>
      </w:r>
      <w:r w:rsidR="00680031" w:rsidRPr="00B749B1">
        <w:rPr>
          <w:sz w:val="20"/>
          <w:szCs w:val="20"/>
          <w:lang w:val="es-ES_tradnl"/>
        </w:rPr>
        <w:t xml:space="preserve"> con el fin</w:t>
      </w:r>
      <w:r w:rsidR="00894BE6" w:rsidRPr="00B749B1">
        <w:rPr>
          <w:sz w:val="20"/>
          <w:szCs w:val="20"/>
          <w:lang w:val="es-ES_tradnl"/>
        </w:rPr>
        <w:t xml:space="preserve"> de </w:t>
      </w:r>
      <w:r w:rsidR="003361B7" w:rsidRPr="00B749B1">
        <w:rPr>
          <w:sz w:val="20"/>
          <w:szCs w:val="20"/>
          <w:lang w:val="es-ES_tradnl"/>
        </w:rPr>
        <w:t xml:space="preserve">recordar los </w:t>
      </w:r>
      <w:r w:rsidR="00894BE6" w:rsidRPr="00B749B1">
        <w:rPr>
          <w:sz w:val="20"/>
          <w:szCs w:val="20"/>
          <w:lang w:val="es-ES_tradnl"/>
        </w:rPr>
        <w:t>conocimientos anteriormente adquiridos por los participantes y</w:t>
      </w:r>
      <w:r w:rsidR="00680031" w:rsidRPr="00B749B1">
        <w:rPr>
          <w:sz w:val="20"/>
          <w:szCs w:val="20"/>
          <w:lang w:val="es-ES_tradnl"/>
        </w:rPr>
        <w:t>, si procede,</w:t>
      </w:r>
      <w:r w:rsidR="00894BE6" w:rsidRPr="00B749B1">
        <w:rPr>
          <w:sz w:val="20"/>
          <w:szCs w:val="20"/>
          <w:lang w:val="es-ES_tradnl"/>
        </w:rPr>
        <w:t xml:space="preserve"> actualizarlos</w:t>
      </w:r>
      <w:r w:rsidR="00700214" w:rsidRPr="00B749B1">
        <w:rPr>
          <w:sz w:val="20"/>
          <w:szCs w:val="20"/>
          <w:lang w:val="es-ES_tradnl"/>
        </w:rPr>
        <w:t>.</w:t>
      </w:r>
      <w:r w:rsidR="009B5B36" w:rsidRPr="00B749B1">
        <w:rPr>
          <w:sz w:val="20"/>
          <w:szCs w:val="20"/>
          <w:lang w:val="es-ES_tradnl"/>
        </w:rPr>
        <w:t xml:space="preserve"> </w:t>
      </w:r>
      <w:r w:rsidR="003361B7" w:rsidRPr="00B749B1">
        <w:rPr>
          <w:sz w:val="20"/>
          <w:szCs w:val="20"/>
          <w:lang w:val="es-ES_tradnl"/>
        </w:rPr>
        <w:t>Junto a ello, examinaremos el estado actual del sistema y los procedimientos actualmente en curso, dentro de los límites fijados por las normas de confidencialidad de la OMC.</w:t>
      </w:r>
    </w:p>
    <w:p w:rsidR="007A5AC1" w:rsidRPr="00B749B1" w:rsidRDefault="007A5AC1" w:rsidP="00EA4543">
      <w:pPr>
        <w:pStyle w:val="Heading1"/>
        <w:spacing w:line="360" w:lineRule="auto"/>
        <w:rPr>
          <w:sz w:val="20"/>
          <w:szCs w:val="20"/>
          <w:lang w:val="es-ES_tradnl"/>
        </w:rPr>
      </w:pPr>
      <w:r w:rsidRPr="00B749B1">
        <w:rPr>
          <w:sz w:val="20"/>
          <w:szCs w:val="20"/>
          <w:lang w:val="es-ES_tradnl"/>
        </w:rPr>
        <w:t>panorama de la solución de diferencias de la omc en los últimos aÑos</w:t>
      </w:r>
    </w:p>
    <w:p w:rsidR="00801A7D" w:rsidRPr="00B749B1" w:rsidRDefault="007A5AC1" w:rsidP="00EA4543">
      <w:pPr>
        <w:pStyle w:val="SummaryText"/>
        <w:numPr>
          <w:ilvl w:val="0"/>
          <w:numId w:val="0"/>
        </w:numPr>
        <w:spacing w:line="360" w:lineRule="auto"/>
        <w:rPr>
          <w:sz w:val="20"/>
          <w:szCs w:val="20"/>
          <w:lang w:val="es-ES_tradnl"/>
        </w:rPr>
      </w:pPr>
      <w:r w:rsidRPr="00B749B1">
        <w:rPr>
          <w:sz w:val="20"/>
          <w:szCs w:val="20"/>
          <w:lang w:val="es-ES_tradnl"/>
        </w:rPr>
        <w:t>En est</w:t>
      </w:r>
      <w:r w:rsidR="00680031" w:rsidRPr="00B749B1">
        <w:rPr>
          <w:sz w:val="20"/>
          <w:szCs w:val="20"/>
          <w:lang w:val="es-ES_tradnl"/>
        </w:rPr>
        <w:t>a</w:t>
      </w:r>
      <w:r w:rsidRPr="00B749B1">
        <w:rPr>
          <w:sz w:val="20"/>
          <w:szCs w:val="20"/>
          <w:lang w:val="es-ES_tradnl"/>
        </w:rPr>
        <w:t xml:space="preserve"> </w:t>
      </w:r>
      <w:r w:rsidR="00680031" w:rsidRPr="00B749B1">
        <w:rPr>
          <w:sz w:val="20"/>
          <w:szCs w:val="20"/>
          <w:lang w:val="es-ES_tradnl"/>
        </w:rPr>
        <w:t xml:space="preserve">sección, </w:t>
      </w:r>
      <w:r w:rsidRPr="00B749B1">
        <w:rPr>
          <w:sz w:val="20"/>
          <w:szCs w:val="20"/>
          <w:lang w:val="es-ES_tradnl"/>
        </w:rPr>
        <w:t>proporcionar</w:t>
      </w:r>
      <w:r w:rsidR="0009345E" w:rsidRPr="00B749B1">
        <w:rPr>
          <w:sz w:val="20"/>
          <w:szCs w:val="20"/>
          <w:lang w:val="es-ES_tradnl"/>
        </w:rPr>
        <w:t>emos</w:t>
      </w:r>
      <w:r w:rsidRPr="00B749B1">
        <w:rPr>
          <w:sz w:val="20"/>
          <w:szCs w:val="20"/>
          <w:lang w:val="es-ES_tradnl"/>
        </w:rPr>
        <w:t xml:space="preserve"> a los participantes una visión de conjunto de los informes de grupos especiales y del Órgano de Apelación </w:t>
      </w:r>
      <w:r w:rsidR="00B53268" w:rsidRPr="00B749B1">
        <w:rPr>
          <w:sz w:val="20"/>
          <w:szCs w:val="20"/>
          <w:lang w:val="es-ES_tradnl"/>
        </w:rPr>
        <w:t>adoptados por el Órgano de Solución de Diferencias</w:t>
      </w:r>
      <w:r w:rsidR="00F00E61">
        <w:rPr>
          <w:sz w:val="20"/>
          <w:szCs w:val="20"/>
          <w:lang w:val="es-ES_tradnl"/>
        </w:rPr>
        <w:t xml:space="preserve"> (OSD) </w:t>
      </w:r>
      <w:r w:rsidR="00F00E61" w:rsidRPr="00B749B1">
        <w:rPr>
          <w:sz w:val="20"/>
          <w:szCs w:val="20"/>
          <w:lang w:val="es-ES_tradnl"/>
        </w:rPr>
        <w:t>en los últimos años</w:t>
      </w:r>
      <w:r w:rsidR="00F00E61">
        <w:rPr>
          <w:sz w:val="20"/>
          <w:szCs w:val="20"/>
          <w:lang w:val="es-ES_tradnl"/>
        </w:rPr>
        <w:t xml:space="preserve">, así como </w:t>
      </w:r>
      <w:r w:rsidR="00B53268" w:rsidRPr="00B749B1">
        <w:rPr>
          <w:sz w:val="20"/>
          <w:szCs w:val="20"/>
          <w:lang w:val="es-ES_tradnl"/>
        </w:rPr>
        <w:t xml:space="preserve">las </w:t>
      </w:r>
      <w:r w:rsidR="00F00E61">
        <w:rPr>
          <w:sz w:val="20"/>
          <w:szCs w:val="20"/>
          <w:lang w:val="es-ES_tradnl"/>
        </w:rPr>
        <w:t xml:space="preserve">nuevas </w:t>
      </w:r>
      <w:r w:rsidR="00B53268" w:rsidRPr="00B749B1">
        <w:rPr>
          <w:sz w:val="20"/>
          <w:szCs w:val="20"/>
          <w:lang w:val="es-ES_tradnl"/>
        </w:rPr>
        <w:t>decisiones de los árbitros al amparo del párrafo</w:t>
      </w:r>
      <w:r w:rsidR="00F00E61">
        <w:rPr>
          <w:sz w:val="20"/>
          <w:szCs w:val="20"/>
          <w:lang w:val="es-ES_tradnl"/>
        </w:rPr>
        <w:t> </w:t>
      </w:r>
      <w:r w:rsidR="00B53268" w:rsidRPr="00B749B1">
        <w:rPr>
          <w:sz w:val="20"/>
          <w:szCs w:val="20"/>
          <w:lang w:val="es-ES_tradnl"/>
        </w:rPr>
        <w:t>6 del artículo 22 del Entendimiento de Solución de Diferencias (ESD)</w:t>
      </w:r>
      <w:r w:rsidRPr="00B749B1">
        <w:rPr>
          <w:sz w:val="20"/>
          <w:szCs w:val="20"/>
          <w:lang w:val="es-ES_tradnl"/>
        </w:rPr>
        <w:t>.</w:t>
      </w:r>
      <w:r w:rsidR="000C2B0D" w:rsidRPr="00B749B1">
        <w:rPr>
          <w:sz w:val="20"/>
          <w:szCs w:val="20"/>
          <w:lang w:val="es-ES_tradnl"/>
        </w:rPr>
        <w:t xml:space="preserve"> </w:t>
      </w:r>
    </w:p>
    <w:p w:rsidR="00147787" w:rsidRPr="00B749B1" w:rsidRDefault="00B53268" w:rsidP="00EA4543">
      <w:pPr>
        <w:pStyle w:val="SummaryText"/>
        <w:numPr>
          <w:ilvl w:val="0"/>
          <w:numId w:val="0"/>
        </w:numPr>
        <w:spacing w:line="360" w:lineRule="auto"/>
        <w:rPr>
          <w:sz w:val="20"/>
          <w:szCs w:val="20"/>
          <w:lang w:val="es-ES"/>
        </w:rPr>
      </w:pPr>
      <w:r w:rsidRPr="00B749B1">
        <w:rPr>
          <w:sz w:val="20"/>
          <w:szCs w:val="20"/>
          <w:lang w:val="es-ES_tradnl"/>
        </w:rPr>
        <w:t xml:space="preserve">Durante este primer día de curso, nos </w:t>
      </w:r>
      <w:r w:rsidR="00801A7D" w:rsidRPr="00B749B1">
        <w:rPr>
          <w:sz w:val="20"/>
          <w:szCs w:val="20"/>
          <w:lang w:val="es-ES_tradnl"/>
        </w:rPr>
        <w:t xml:space="preserve">dedicaremos a analizar </w:t>
      </w:r>
      <w:r w:rsidRPr="00B749B1">
        <w:rPr>
          <w:sz w:val="20"/>
          <w:szCs w:val="20"/>
          <w:lang w:val="es-ES_tradnl"/>
        </w:rPr>
        <w:t xml:space="preserve">la jurisprudencia </w:t>
      </w:r>
      <w:r w:rsidR="00801A7D" w:rsidRPr="00B749B1">
        <w:rPr>
          <w:sz w:val="20"/>
          <w:szCs w:val="20"/>
          <w:lang w:val="es-ES_tradnl"/>
        </w:rPr>
        <w:t>reciente</w:t>
      </w:r>
      <w:r w:rsidR="00F00E61">
        <w:rPr>
          <w:sz w:val="20"/>
          <w:szCs w:val="20"/>
          <w:lang w:val="es-ES_tradnl"/>
        </w:rPr>
        <w:t xml:space="preserve"> </w:t>
      </w:r>
      <w:r w:rsidR="00801A7D" w:rsidRPr="00B749B1">
        <w:rPr>
          <w:sz w:val="20"/>
          <w:szCs w:val="20"/>
          <w:lang w:val="es-ES_tradnl"/>
        </w:rPr>
        <w:t>sobre la interpretación de</w:t>
      </w:r>
      <w:r w:rsidRPr="00B749B1">
        <w:rPr>
          <w:sz w:val="20"/>
          <w:szCs w:val="20"/>
          <w:lang w:val="es-ES_tradnl"/>
        </w:rPr>
        <w:t xml:space="preserve"> disposiciones de l</w:t>
      </w:r>
      <w:r w:rsidR="00801A7D" w:rsidRPr="00B749B1">
        <w:rPr>
          <w:sz w:val="20"/>
          <w:szCs w:val="20"/>
          <w:lang w:val="es-ES_tradnl"/>
        </w:rPr>
        <w:t>o</w:t>
      </w:r>
      <w:r w:rsidRPr="00B749B1">
        <w:rPr>
          <w:sz w:val="20"/>
          <w:szCs w:val="20"/>
          <w:lang w:val="es-ES_tradnl"/>
        </w:rPr>
        <w:t xml:space="preserve">s distintos acuerdos abarcados. Por ejemplo, </w:t>
      </w:r>
      <w:r w:rsidR="00801A7D" w:rsidRPr="00B749B1">
        <w:rPr>
          <w:sz w:val="20"/>
          <w:szCs w:val="20"/>
          <w:lang w:val="es-ES_tradnl"/>
        </w:rPr>
        <w:t xml:space="preserve">examinaremos </w:t>
      </w:r>
      <w:r w:rsidR="00147787" w:rsidRPr="00B749B1">
        <w:rPr>
          <w:sz w:val="20"/>
          <w:szCs w:val="20"/>
          <w:lang w:val="es-ES"/>
        </w:rPr>
        <w:t xml:space="preserve">la invocación por primera vez de </w:t>
      </w:r>
      <w:r w:rsidR="00801A7D" w:rsidRPr="00B749B1">
        <w:rPr>
          <w:sz w:val="20"/>
          <w:szCs w:val="20"/>
          <w:lang w:val="es-ES"/>
        </w:rPr>
        <w:t xml:space="preserve">la excepción de seguridad nacional </w:t>
      </w:r>
      <w:r w:rsidR="000258D6">
        <w:rPr>
          <w:sz w:val="20"/>
          <w:szCs w:val="20"/>
          <w:lang w:val="es-ES"/>
        </w:rPr>
        <w:t>al amparo del</w:t>
      </w:r>
      <w:r w:rsidR="00147787" w:rsidRPr="00B749B1">
        <w:rPr>
          <w:sz w:val="20"/>
          <w:szCs w:val="20"/>
          <w:lang w:val="es-ES"/>
        </w:rPr>
        <w:t xml:space="preserve"> artículo XXI del GATT 1994</w:t>
      </w:r>
      <w:r w:rsidR="00013A9C">
        <w:rPr>
          <w:sz w:val="20"/>
          <w:szCs w:val="20"/>
          <w:lang w:val="es-ES"/>
        </w:rPr>
        <w:t>;</w:t>
      </w:r>
      <w:r w:rsidR="00147787" w:rsidRPr="00B749B1">
        <w:rPr>
          <w:sz w:val="20"/>
          <w:szCs w:val="20"/>
          <w:lang w:val="es-ES"/>
        </w:rPr>
        <w:t xml:space="preserve"> la caracterización jurídica de las medidas de </w:t>
      </w:r>
      <w:r w:rsidR="00147787" w:rsidRPr="00B749B1">
        <w:rPr>
          <w:sz w:val="20"/>
          <w:szCs w:val="20"/>
          <w:lang w:val="es-ES"/>
        </w:rPr>
        <w:lastRenderedPageBreak/>
        <w:t>salvaguardia</w:t>
      </w:r>
      <w:r w:rsidR="00013A9C">
        <w:rPr>
          <w:sz w:val="20"/>
          <w:szCs w:val="20"/>
          <w:lang w:val="es-ES"/>
        </w:rPr>
        <w:t>;</w:t>
      </w:r>
      <w:r w:rsidR="00147787" w:rsidRPr="00B749B1">
        <w:rPr>
          <w:sz w:val="20"/>
          <w:szCs w:val="20"/>
          <w:lang w:val="es-ES"/>
        </w:rPr>
        <w:t xml:space="preserve"> </w:t>
      </w:r>
      <w:r w:rsidR="000258D6">
        <w:rPr>
          <w:sz w:val="20"/>
          <w:szCs w:val="20"/>
          <w:lang w:val="es-ES"/>
        </w:rPr>
        <w:t>la problemática de las constataciones sobre medidas compensatorias revocadas</w:t>
      </w:r>
      <w:r w:rsidR="00013A9C">
        <w:rPr>
          <w:sz w:val="20"/>
          <w:szCs w:val="20"/>
          <w:lang w:val="es-ES"/>
        </w:rPr>
        <w:t>;</w:t>
      </w:r>
      <w:r w:rsidR="00275F1E">
        <w:rPr>
          <w:sz w:val="20"/>
          <w:szCs w:val="20"/>
          <w:lang w:val="es-ES"/>
        </w:rPr>
        <w:t xml:space="preserve"> la discusión sobre</w:t>
      </w:r>
      <w:r w:rsidR="000258D6">
        <w:rPr>
          <w:sz w:val="20"/>
          <w:szCs w:val="20"/>
          <w:lang w:val="es-ES"/>
        </w:rPr>
        <w:t xml:space="preserve"> </w:t>
      </w:r>
      <w:r w:rsidR="00275F1E">
        <w:rPr>
          <w:sz w:val="20"/>
          <w:szCs w:val="20"/>
          <w:lang w:val="es-ES"/>
        </w:rPr>
        <w:t xml:space="preserve">los </w:t>
      </w:r>
      <w:r w:rsidR="00275F1E" w:rsidRPr="00275F1E">
        <w:rPr>
          <w:sz w:val="20"/>
          <w:szCs w:val="20"/>
          <w:lang w:val="es-ES"/>
        </w:rPr>
        <w:t>hechos desfavorables de que se tenía conocimiento (AFA)</w:t>
      </w:r>
      <w:r w:rsidR="00013A9C">
        <w:rPr>
          <w:sz w:val="20"/>
          <w:szCs w:val="20"/>
          <w:lang w:val="es-ES"/>
        </w:rPr>
        <w:t>;</w:t>
      </w:r>
      <w:r w:rsidR="00275F1E">
        <w:rPr>
          <w:sz w:val="20"/>
          <w:szCs w:val="20"/>
          <w:lang w:val="es-ES"/>
        </w:rPr>
        <w:t xml:space="preserve"> </w:t>
      </w:r>
      <w:r w:rsidR="007571F0">
        <w:rPr>
          <w:sz w:val="20"/>
          <w:szCs w:val="20"/>
          <w:lang w:val="es-ES"/>
        </w:rPr>
        <w:t xml:space="preserve">la posibilidad de apartarse de la jurisprudencia anterior por </w:t>
      </w:r>
      <w:proofErr w:type="spellStart"/>
      <w:r w:rsidR="007571F0">
        <w:rPr>
          <w:i/>
          <w:sz w:val="20"/>
          <w:szCs w:val="20"/>
          <w:lang w:val="es-ES"/>
        </w:rPr>
        <w:t>cogen</w:t>
      </w:r>
      <w:r w:rsidR="00CF66A3">
        <w:rPr>
          <w:i/>
          <w:sz w:val="20"/>
          <w:szCs w:val="20"/>
          <w:lang w:val="es-ES"/>
        </w:rPr>
        <w:t>t</w:t>
      </w:r>
      <w:proofErr w:type="spellEnd"/>
      <w:r w:rsidR="007571F0">
        <w:rPr>
          <w:i/>
          <w:sz w:val="20"/>
          <w:szCs w:val="20"/>
          <w:lang w:val="es-ES"/>
        </w:rPr>
        <w:t xml:space="preserve"> </w:t>
      </w:r>
      <w:proofErr w:type="spellStart"/>
      <w:r w:rsidR="007571F0">
        <w:rPr>
          <w:i/>
          <w:sz w:val="20"/>
          <w:szCs w:val="20"/>
          <w:lang w:val="es-ES"/>
        </w:rPr>
        <w:t>reasons</w:t>
      </w:r>
      <w:proofErr w:type="spellEnd"/>
      <w:r w:rsidR="00013A9C">
        <w:rPr>
          <w:i/>
          <w:sz w:val="20"/>
          <w:szCs w:val="20"/>
          <w:lang w:val="es-ES"/>
        </w:rPr>
        <w:t>;</w:t>
      </w:r>
      <w:r w:rsidR="007571F0">
        <w:rPr>
          <w:i/>
          <w:sz w:val="20"/>
          <w:szCs w:val="20"/>
          <w:lang w:val="es-ES"/>
        </w:rPr>
        <w:t xml:space="preserve"> </w:t>
      </w:r>
      <w:r w:rsidR="00275F1E">
        <w:rPr>
          <w:sz w:val="20"/>
          <w:szCs w:val="20"/>
          <w:lang w:val="es-ES"/>
        </w:rPr>
        <w:t>la inaplicabilidad del artículo XX del GATT 1994 al Acuerdo sobre Valoración Aduanera</w:t>
      </w:r>
      <w:r w:rsidR="00013A9C">
        <w:rPr>
          <w:sz w:val="20"/>
          <w:szCs w:val="20"/>
          <w:lang w:val="es-ES"/>
        </w:rPr>
        <w:t>;</w:t>
      </w:r>
      <w:r w:rsidR="00275F1E">
        <w:rPr>
          <w:sz w:val="20"/>
          <w:szCs w:val="20"/>
          <w:lang w:val="es-ES"/>
        </w:rPr>
        <w:t xml:space="preserve"> la invocación del párrafo (a) del Artículo XX en asuntos sanitarios y fitosanitarios</w:t>
      </w:r>
      <w:r w:rsidR="00013A9C">
        <w:rPr>
          <w:sz w:val="20"/>
          <w:szCs w:val="20"/>
          <w:lang w:val="es-ES"/>
        </w:rPr>
        <w:t>;</w:t>
      </w:r>
      <w:r w:rsidR="00275F1E">
        <w:rPr>
          <w:sz w:val="20"/>
          <w:szCs w:val="20"/>
          <w:lang w:val="es-ES"/>
        </w:rPr>
        <w:t xml:space="preserve"> la relación entre la salud pública y el Acuerdo sobre Obstáculos Técnicos al Comercio</w:t>
      </w:r>
      <w:r w:rsidR="00CF66A3">
        <w:rPr>
          <w:sz w:val="20"/>
          <w:szCs w:val="20"/>
          <w:lang w:val="es-ES"/>
        </w:rPr>
        <w:t>;</w:t>
      </w:r>
      <w:r w:rsidR="00275F1E">
        <w:rPr>
          <w:sz w:val="20"/>
          <w:szCs w:val="20"/>
          <w:lang w:val="es-ES"/>
        </w:rPr>
        <w:t xml:space="preserve"> </w:t>
      </w:r>
      <w:r w:rsidR="00147787" w:rsidRPr="00B749B1">
        <w:rPr>
          <w:sz w:val="20"/>
          <w:szCs w:val="20"/>
          <w:lang w:val="es-ES"/>
        </w:rPr>
        <w:t xml:space="preserve">etc. </w:t>
      </w:r>
    </w:p>
    <w:p w:rsidR="009B5B36" w:rsidRPr="00B749B1" w:rsidRDefault="009B5B36" w:rsidP="00472D58">
      <w:pPr>
        <w:spacing w:line="360" w:lineRule="auto"/>
        <w:jc w:val="center"/>
        <w:rPr>
          <w:b/>
          <w:color w:val="FF0000"/>
          <w:sz w:val="20"/>
          <w:szCs w:val="20"/>
          <w:lang w:val="es-ES_tradnl"/>
        </w:rPr>
      </w:pPr>
      <w:r w:rsidRPr="00B749B1">
        <w:rPr>
          <w:b/>
          <w:color w:val="FF0000"/>
          <w:sz w:val="20"/>
          <w:szCs w:val="20"/>
          <w:lang w:val="es-ES_tradnl"/>
        </w:rPr>
        <w:t>5 DE NOVIEMBRE DE 2019</w:t>
      </w:r>
    </w:p>
    <w:p w:rsidR="009B5B36" w:rsidRPr="00B749B1" w:rsidRDefault="009B5B36" w:rsidP="00EA4543">
      <w:pPr>
        <w:spacing w:line="360" w:lineRule="auto"/>
        <w:jc w:val="left"/>
        <w:rPr>
          <w:color w:val="FF0000"/>
          <w:sz w:val="20"/>
          <w:szCs w:val="20"/>
          <w:lang w:val="es-ES_tradnl"/>
        </w:rPr>
      </w:pPr>
    </w:p>
    <w:p w:rsidR="009B5B36" w:rsidRPr="00B749B1" w:rsidRDefault="009B5B36" w:rsidP="00EA4543">
      <w:pPr>
        <w:pStyle w:val="Heading1"/>
        <w:spacing w:line="360" w:lineRule="auto"/>
        <w:rPr>
          <w:sz w:val="20"/>
          <w:szCs w:val="20"/>
          <w:lang w:val="es-ES_tradnl"/>
        </w:rPr>
      </w:pPr>
      <w:r w:rsidRPr="00B749B1">
        <w:rPr>
          <w:sz w:val="20"/>
          <w:szCs w:val="20"/>
          <w:lang w:val="es-ES_tradnl"/>
        </w:rPr>
        <w:t>El mandato del grupo especial: jurisprudencia y práctica. ejercicio 1</w:t>
      </w:r>
    </w:p>
    <w:p w:rsidR="0031665C" w:rsidRDefault="00327CFA" w:rsidP="00EA4543">
      <w:pPr>
        <w:pStyle w:val="SummaryText"/>
        <w:numPr>
          <w:ilvl w:val="0"/>
          <w:numId w:val="0"/>
        </w:numPr>
        <w:spacing w:line="360" w:lineRule="auto"/>
        <w:rPr>
          <w:sz w:val="20"/>
          <w:szCs w:val="20"/>
          <w:lang w:val="es-ES"/>
        </w:rPr>
      </w:pPr>
      <w:r w:rsidRPr="00B749B1">
        <w:rPr>
          <w:sz w:val="20"/>
          <w:szCs w:val="20"/>
          <w:lang w:val="es-ES"/>
        </w:rPr>
        <w:t>El</w:t>
      </w:r>
      <w:r w:rsidR="00002016" w:rsidRPr="00B749B1">
        <w:rPr>
          <w:sz w:val="20"/>
          <w:szCs w:val="20"/>
          <w:lang w:val="es-ES"/>
        </w:rPr>
        <w:t xml:space="preserve"> asunto objeto de la diferencia</w:t>
      </w:r>
      <w:r w:rsidR="00472D58">
        <w:rPr>
          <w:sz w:val="20"/>
          <w:szCs w:val="20"/>
          <w:lang w:val="es-ES"/>
        </w:rPr>
        <w:t>, entendido como</w:t>
      </w:r>
      <w:r w:rsidR="00DC1B03" w:rsidRPr="00B749B1">
        <w:rPr>
          <w:sz w:val="20"/>
          <w:szCs w:val="20"/>
          <w:lang w:val="es-ES"/>
        </w:rPr>
        <w:t xml:space="preserve"> l</w:t>
      </w:r>
      <w:r w:rsidR="009B5B36" w:rsidRPr="00B749B1">
        <w:rPr>
          <w:sz w:val="20"/>
          <w:szCs w:val="20"/>
          <w:lang w:val="es-ES"/>
        </w:rPr>
        <w:t xml:space="preserve">as medidas impugnadas y las </w:t>
      </w:r>
      <w:r w:rsidR="00472D58">
        <w:rPr>
          <w:sz w:val="20"/>
          <w:szCs w:val="20"/>
          <w:lang w:val="es-ES"/>
        </w:rPr>
        <w:t>alegaciones,</w:t>
      </w:r>
      <w:r w:rsidR="009B5B36" w:rsidRPr="00B749B1">
        <w:rPr>
          <w:sz w:val="20"/>
          <w:szCs w:val="20"/>
          <w:lang w:val="es-ES"/>
        </w:rPr>
        <w:t xml:space="preserve"> </w:t>
      </w:r>
      <w:r w:rsidR="00552B8F" w:rsidRPr="00B749B1">
        <w:rPr>
          <w:sz w:val="20"/>
          <w:szCs w:val="20"/>
          <w:lang w:val="es-ES"/>
        </w:rPr>
        <w:t>constituye</w:t>
      </w:r>
      <w:r w:rsidR="00E71D04" w:rsidRPr="00B749B1">
        <w:rPr>
          <w:sz w:val="20"/>
          <w:szCs w:val="20"/>
          <w:lang w:val="es-ES"/>
        </w:rPr>
        <w:t xml:space="preserve"> </w:t>
      </w:r>
      <w:r w:rsidR="009B5B36" w:rsidRPr="00B749B1">
        <w:rPr>
          <w:sz w:val="20"/>
          <w:szCs w:val="20"/>
          <w:lang w:val="es-ES"/>
        </w:rPr>
        <w:t>el núcleo de los procedimientos de solución de diferencias de la OMC, ya que circunscribe los términos de referencia del grupo especial</w:t>
      </w:r>
      <w:r w:rsidR="00E71D04" w:rsidRPr="00B749B1">
        <w:rPr>
          <w:sz w:val="20"/>
          <w:szCs w:val="20"/>
          <w:lang w:val="es-ES"/>
        </w:rPr>
        <w:t>. E</w:t>
      </w:r>
      <w:r w:rsidR="009B5B36" w:rsidRPr="00B749B1">
        <w:rPr>
          <w:sz w:val="20"/>
          <w:szCs w:val="20"/>
          <w:lang w:val="es-ES"/>
        </w:rPr>
        <w:t xml:space="preserve">n otras palabras, </w:t>
      </w:r>
      <w:r w:rsidR="00472D58">
        <w:rPr>
          <w:sz w:val="20"/>
          <w:szCs w:val="20"/>
          <w:lang w:val="es-ES"/>
        </w:rPr>
        <w:t xml:space="preserve">el asunto </w:t>
      </w:r>
      <w:r w:rsidR="009B5B36" w:rsidRPr="00B749B1">
        <w:rPr>
          <w:sz w:val="20"/>
          <w:szCs w:val="20"/>
          <w:lang w:val="es-ES"/>
        </w:rPr>
        <w:t xml:space="preserve">establece los límites de lo que el grupo especial puede dictaminar. </w:t>
      </w:r>
      <w:r w:rsidR="0031665C" w:rsidRPr="00B749B1">
        <w:rPr>
          <w:sz w:val="20"/>
          <w:szCs w:val="20"/>
          <w:lang w:val="es-ES"/>
        </w:rPr>
        <w:t>Según el mandato estándar previsto en el artículo 7</w:t>
      </w:r>
      <w:r w:rsidR="0070510E">
        <w:rPr>
          <w:sz w:val="20"/>
          <w:szCs w:val="20"/>
          <w:lang w:val="es-ES"/>
        </w:rPr>
        <w:t xml:space="preserve"> del ESD</w:t>
      </w:r>
      <w:r w:rsidR="0031665C" w:rsidRPr="00B749B1">
        <w:rPr>
          <w:sz w:val="20"/>
          <w:szCs w:val="20"/>
          <w:lang w:val="es-ES"/>
        </w:rPr>
        <w:t xml:space="preserve">, los grupos especiales están obligados a examinar, a la luz de las disposiciones de los acuerdos abarcados citadas por las partes en la diferencia, el "asunto remitido al OSD" por el reclamante, en su solicitud de establecimiento de un grupo especial. Por lo tanto, los términos de referencia del grupo especial se definen con referencia a la solicitud de grupo especial. </w:t>
      </w:r>
    </w:p>
    <w:p w:rsidR="0031665C" w:rsidRDefault="0031665C" w:rsidP="00EA4543">
      <w:pPr>
        <w:pStyle w:val="SummaryText"/>
        <w:numPr>
          <w:ilvl w:val="0"/>
          <w:numId w:val="0"/>
        </w:numPr>
        <w:spacing w:line="360" w:lineRule="auto"/>
        <w:rPr>
          <w:sz w:val="20"/>
          <w:szCs w:val="20"/>
          <w:lang w:val="es-ES"/>
        </w:rPr>
      </w:pPr>
      <w:r>
        <w:rPr>
          <w:sz w:val="20"/>
          <w:szCs w:val="20"/>
          <w:lang w:val="es-ES"/>
        </w:rPr>
        <w:t xml:space="preserve">Una gran parte de la jurisprudencia procesal se centra en la adecuación de la solicitud de grupo especial con los requisitos del párrafo 2 del artículo 6 del ESD. La cuestión no es baladí ya que una solicitud que no respete </w:t>
      </w:r>
      <w:r w:rsidR="00472D58">
        <w:rPr>
          <w:sz w:val="20"/>
          <w:szCs w:val="20"/>
          <w:lang w:val="es-ES"/>
        </w:rPr>
        <w:t>dichos</w:t>
      </w:r>
      <w:r>
        <w:rPr>
          <w:sz w:val="20"/>
          <w:szCs w:val="20"/>
          <w:lang w:val="es-ES"/>
        </w:rPr>
        <w:t xml:space="preserve"> requisitos</w:t>
      </w:r>
      <w:r w:rsidR="00472D58">
        <w:rPr>
          <w:sz w:val="20"/>
          <w:szCs w:val="20"/>
          <w:lang w:val="es-ES"/>
        </w:rPr>
        <w:t>,</w:t>
      </w:r>
      <w:r>
        <w:rPr>
          <w:sz w:val="20"/>
          <w:szCs w:val="20"/>
          <w:lang w:val="es-ES"/>
        </w:rPr>
        <w:t xml:space="preserve"> tal y como han sido interpretados por la jurisprudencia</w:t>
      </w:r>
      <w:r w:rsidR="00472D58">
        <w:rPr>
          <w:sz w:val="20"/>
          <w:szCs w:val="20"/>
          <w:lang w:val="es-ES"/>
        </w:rPr>
        <w:t>,</w:t>
      </w:r>
      <w:r>
        <w:rPr>
          <w:sz w:val="20"/>
          <w:szCs w:val="20"/>
          <w:lang w:val="es-ES"/>
        </w:rPr>
        <w:t xml:space="preserve"> puede acarrear el fracaso del caso planteado por el reclamante. </w:t>
      </w:r>
      <w:r w:rsidR="009C580F">
        <w:rPr>
          <w:sz w:val="20"/>
          <w:szCs w:val="20"/>
          <w:lang w:val="es-ES"/>
        </w:rPr>
        <w:t xml:space="preserve">Dos requisitos claves en esta disposición jurídica son la identificación de las medidas concretas en litigio y la breve </w:t>
      </w:r>
      <w:r w:rsidR="009C580F" w:rsidRPr="009C580F">
        <w:rPr>
          <w:sz w:val="20"/>
          <w:szCs w:val="20"/>
          <w:lang w:val="es-ES"/>
        </w:rPr>
        <w:t>exposición de los fundamentos de derecho de la reclamación</w:t>
      </w:r>
      <w:r w:rsidR="009C580F">
        <w:rPr>
          <w:sz w:val="20"/>
          <w:szCs w:val="20"/>
          <w:lang w:val="es-ES"/>
        </w:rPr>
        <w:t>, que sea suficiente para presentar el problema con claridad.</w:t>
      </w:r>
    </w:p>
    <w:p w:rsidR="0031665C" w:rsidRDefault="009C580F" w:rsidP="00EA4543">
      <w:pPr>
        <w:pStyle w:val="SummaryText"/>
        <w:numPr>
          <w:ilvl w:val="0"/>
          <w:numId w:val="0"/>
        </w:numPr>
        <w:spacing w:line="360" w:lineRule="auto"/>
        <w:rPr>
          <w:sz w:val="20"/>
          <w:szCs w:val="20"/>
          <w:lang w:val="es-ES"/>
        </w:rPr>
      </w:pPr>
      <w:r>
        <w:rPr>
          <w:sz w:val="20"/>
          <w:szCs w:val="20"/>
          <w:lang w:val="es-ES"/>
        </w:rPr>
        <w:t>En lo que respecta a l</w:t>
      </w:r>
      <w:r w:rsidR="0031665C">
        <w:rPr>
          <w:sz w:val="20"/>
          <w:szCs w:val="20"/>
          <w:lang w:val="es-ES"/>
        </w:rPr>
        <w:t xml:space="preserve">a identificación de la medida </w:t>
      </w:r>
      <w:r>
        <w:rPr>
          <w:sz w:val="20"/>
          <w:szCs w:val="20"/>
          <w:lang w:val="es-ES"/>
        </w:rPr>
        <w:t>concreta en litigio,</w:t>
      </w:r>
      <w:r w:rsidR="009B5B36" w:rsidRPr="00B749B1">
        <w:rPr>
          <w:sz w:val="20"/>
          <w:szCs w:val="20"/>
          <w:lang w:val="es-ES"/>
        </w:rPr>
        <w:t xml:space="preserve"> </w:t>
      </w:r>
      <w:r w:rsidR="007512E4" w:rsidRPr="00B749B1">
        <w:rPr>
          <w:sz w:val="20"/>
          <w:szCs w:val="20"/>
          <w:lang w:val="es-ES"/>
        </w:rPr>
        <w:t>abordar</w:t>
      </w:r>
      <w:r w:rsidR="00DC1B03" w:rsidRPr="00B749B1">
        <w:rPr>
          <w:sz w:val="20"/>
          <w:szCs w:val="20"/>
          <w:lang w:val="es-ES"/>
        </w:rPr>
        <w:t>emos</w:t>
      </w:r>
      <w:r w:rsidR="007512E4" w:rsidRPr="00B749B1">
        <w:rPr>
          <w:sz w:val="20"/>
          <w:szCs w:val="20"/>
          <w:lang w:val="es-ES"/>
        </w:rPr>
        <w:t xml:space="preserve"> </w:t>
      </w:r>
      <w:r w:rsidR="009B5B36" w:rsidRPr="00B749B1">
        <w:rPr>
          <w:sz w:val="20"/>
          <w:szCs w:val="20"/>
          <w:lang w:val="es-ES"/>
        </w:rPr>
        <w:t xml:space="preserve">cuestiones tales como, por ejemplo, </w:t>
      </w:r>
      <w:r w:rsidR="0031665C">
        <w:rPr>
          <w:sz w:val="20"/>
          <w:szCs w:val="20"/>
          <w:lang w:val="es-ES"/>
        </w:rPr>
        <w:t xml:space="preserve">¿qué puede ser impugnado? </w:t>
      </w:r>
      <w:r w:rsidR="009B5B36" w:rsidRPr="00B749B1">
        <w:rPr>
          <w:sz w:val="20"/>
          <w:szCs w:val="20"/>
          <w:lang w:val="es-ES"/>
        </w:rPr>
        <w:t xml:space="preserve">¿qué tipos de medidas adoptadas por un Miembro </w:t>
      </w:r>
      <w:r w:rsidR="00F00E61">
        <w:rPr>
          <w:sz w:val="20"/>
          <w:szCs w:val="20"/>
          <w:lang w:val="es-ES"/>
        </w:rPr>
        <w:t xml:space="preserve">de la OMC </w:t>
      </w:r>
      <w:r w:rsidR="009B5B36" w:rsidRPr="00B749B1">
        <w:rPr>
          <w:sz w:val="20"/>
          <w:szCs w:val="20"/>
          <w:lang w:val="es-ES"/>
        </w:rPr>
        <w:t xml:space="preserve">están </w:t>
      </w:r>
      <w:r w:rsidR="00F00E61">
        <w:rPr>
          <w:sz w:val="20"/>
          <w:szCs w:val="20"/>
          <w:lang w:val="es-ES"/>
        </w:rPr>
        <w:t xml:space="preserve">cubiertas por </w:t>
      </w:r>
      <w:r w:rsidR="009B5B36" w:rsidRPr="00B749B1">
        <w:rPr>
          <w:sz w:val="20"/>
          <w:szCs w:val="20"/>
          <w:lang w:val="es-ES"/>
        </w:rPr>
        <w:t xml:space="preserve">un compromiso </w:t>
      </w:r>
      <w:r w:rsidR="00F00E61">
        <w:rPr>
          <w:sz w:val="20"/>
          <w:szCs w:val="20"/>
          <w:lang w:val="es-ES"/>
        </w:rPr>
        <w:t xml:space="preserve">adquirido bajo </w:t>
      </w:r>
      <w:r w:rsidR="009B5B36" w:rsidRPr="00B749B1">
        <w:rPr>
          <w:sz w:val="20"/>
          <w:szCs w:val="20"/>
          <w:lang w:val="es-ES"/>
        </w:rPr>
        <w:t>un</w:t>
      </w:r>
      <w:r w:rsidR="00F00E61">
        <w:rPr>
          <w:sz w:val="20"/>
          <w:szCs w:val="20"/>
          <w:lang w:val="es-ES"/>
        </w:rPr>
        <w:t>o de los</w:t>
      </w:r>
      <w:r w:rsidR="009B5B36" w:rsidRPr="00B749B1">
        <w:rPr>
          <w:sz w:val="20"/>
          <w:szCs w:val="20"/>
          <w:lang w:val="es-ES"/>
        </w:rPr>
        <w:t xml:space="preserve"> acuerdo</w:t>
      </w:r>
      <w:r w:rsidR="00F00E61">
        <w:rPr>
          <w:sz w:val="20"/>
          <w:szCs w:val="20"/>
          <w:lang w:val="es-ES"/>
        </w:rPr>
        <w:t>s</w:t>
      </w:r>
      <w:r w:rsidR="009B5B36" w:rsidRPr="00B749B1">
        <w:rPr>
          <w:sz w:val="20"/>
          <w:szCs w:val="20"/>
          <w:lang w:val="es-ES"/>
        </w:rPr>
        <w:t xml:space="preserve"> abarcado</w:t>
      </w:r>
      <w:r w:rsidR="00F00E61">
        <w:rPr>
          <w:sz w:val="20"/>
          <w:szCs w:val="20"/>
          <w:lang w:val="es-ES"/>
        </w:rPr>
        <w:t>s</w:t>
      </w:r>
      <w:r w:rsidR="009B5B36" w:rsidRPr="00B749B1">
        <w:rPr>
          <w:sz w:val="20"/>
          <w:szCs w:val="20"/>
          <w:lang w:val="es-ES"/>
        </w:rPr>
        <w:t xml:space="preserve">? ¿Pueden impugnarse solamente </w:t>
      </w:r>
      <w:r w:rsidR="002835EB" w:rsidRPr="00B749B1">
        <w:rPr>
          <w:sz w:val="20"/>
          <w:szCs w:val="20"/>
          <w:lang w:val="es-ES"/>
        </w:rPr>
        <w:t xml:space="preserve">los actos legislativos, o también </w:t>
      </w:r>
      <w:r w:rsidR="009B5B36" w:rsidRPr="00B749B1">
        <w:rPr>
          <w:sz w:val="20"/>
          <w:szCs w:val="20"/>
          <w:lang w:val="es-ES"/>
        </w:rPr>
        <w:t>los actos de las autoridades administrativas</w:t>
      </w:r>
      <w:r w:rsidR="002835EB" w:rsidRPr="00B749B1">
        <w:rPr>
          <w:sz w:val="20"/>
          <w:szCs w:val="20"/>
          <w:lang w:val="es-ES"/>
        </w:rPr>
        <w:t xml:space="preserve"> y de los tribunales</w:t>
      </w:r>
      <w:r w:rsidR="009B5B36" w:rsidRPr="00B749B1">
        <w:rPr>
          <w:sz w:val="20"/>
          <w:szCs w:val="20"/>
          <w:lang w:val="es-ES"/>
        </w:rPr>
        <w:t xml:space="preserve">? ¿Puede el reclamante recurrir al sistema de solución de diferencias solamente contra actos </w:t>
      </w:r>
      <w:r w:rsidR="009B5B36" w:rsidRPr="00B749B1">
        <w:rPr>
          <w:sz w:val="20"/>
          <w:szCs w:val="20"/>
          <w:lang w:val="es-ES"/>
        </w:rPr>
        <w:lastRenderedPageBreak/>
        <w:t xml:space="preserve">jurídicamente vinculantes de los Miembros, o también contra actos no vinculantes adoptados por las autoridades de los Miembros? ¿Puede impugnarse solamente una conducta gubernamental, o también el comportamiento de particulares? ¿Pueden impugnarse solamente las acciones positivas, o también las omisiones, por ejemplo, el no tomar una medida determinada? </w:t>
      </w:r>
      <w:r w:rsidR="00F00E61">
        <w:rPr>
          <w:sz w:val="20"/>
          <w:szCs w:val="20"/>
          <w:lang w:val="es-ES"/>
        </w:rPr>
        <w:t xml:space="preserve">¿Qué ocurre con las medidas no escritas? </w:t>
      </w:r>
    </w:p>
    <w:p w:rsidR="009B5B36" w:rsidRPr="009C580F" w:rsidRDefault="009C580F" w:rsidP="00EA4543">
      <w:pPr>
        <w:pStyle w:val="SummaryText"/>
        <w:numPr>
          <w:ilvl w:val="0"/>
          <w:numId w:val="0"/>
        </w:numPr>
        <w:spacing w:line="360" w:lineRule="auto"/>
        <w:rPr>
          <w:rFonts w:ascii="Segoe UI Emoji" w:eastAsia="Malgun Gothic" w:hAnsi="Segoe UI Emoji"/>
          <w:sz w:val="20"/>
          <w:szCs w:val="20"/>
          <w:lang w:val="es-ES" w:eastAsia="ko-KR"/>
        </w:rPr>
      </w:pPr>
      <w:r>
        <w:rPr>
          <w:sz w:val="20"/>
          <w:szCs w:val="20"/>
          <w:lang w:val="es-ES"/>
        </w:rPr>
        <w:t xml:space="preserve">En lo que respecta a la </w:t>
      </w:r>
      <w:r w:rsidRPr="009C580F">
        <w:rPr>
          <w:sz w:val="20"/>
          <w:szCs w:val="20"/>
          <w:lang w:val="es-ES"/>
        </w:rPr>
        <w:t>exposición breve, pero suficientemente clara, de los fundamentos de derecho de la reclamación</w:t>
      </w:r>
      <w:r>
        <w:rPr>
          <w:sz w:val="20"/>
          <w:szCs w:val="20"/>
          <w:lang w:val="es-ES"/>
        </w:rPr>
        <w:t>, l</w:t>
      </w:r>
      <w:r w:rsidR="0031665C">
        <w:rPr>
          <w:sz w:val="20"/>
          <w:szCs w:val="20"/>
          <w:lang w:val="es-ES"/>
        </w:rPr>
        <w:t xml:space="preserve">a pregunta clave es </w:t>
      </w:r>
      <w:r w:rsidR="009B5B36" w:rsidRPr="00B749B1">
        <w:rPr>
          <w:sz w:val="20"/>
          <w:szCs w:val="20"/>
          <w:lang w:val="es-ES"/>
        </w:rPr>
        <w:t>¿</w:t>
      </w:r>
      <w:r w:rsidR="0031665C">
        <w:rPr>
          <w:sz w:val="20"/>
          <w:szCs w:val="20"/>
          <w:lang w:val="es-ES"/>
        </w:rPr>
        <w:t>q</w:t>
      </w:r>
      <w:r w:rsidR="009B5B36" w:rsidRPr="00B749B1">
        <w:rPr>
          <w:sz w:val="20"/>
          <w:szCs w:val="20"/>
          <w:lang w:val="es-ES"/>
        </w:rPr>
        <w:t xml:space="preserve">ué tipo de alegaciones pueden </w:t>
      </w:r>
      <w:r w:rsidR="0031665C">
        <w:rPr>
          <w:sz w:val="20"/>
          <w:szCs w:val="20"/>
          <w:lang w:val="es-ES"/>
        </w:rPr>
        <w:t>formularse</w:t>
      </w:r>
      <w:r w:rsidR="009B5B36" w:rsidRPr="00B749B1">
        <w:rPr>
          <w:sz w:val="20"/>
          <w:szCs w:val="20"/>
          <w:lang w:val="es-ES"/>
        </w:rPr>
        <w:t>?</w:t>
      </w:r>
    </w:p>
    <w:p w:rsidR="00DC1B03" w:rsidRPr="00B749B1" w:rsidRDefault="0031665C" w:rsidP="00EA4543">
      <w:pPr>
        <w:pStyle w:val="SummaryText"/>
        <w:numPr>
          <w:ilvl w:val="0"/>
          <w:numId w:val="0"/>
        </w:numPr>
        <w:spacing w:line="360" w:lineRule="auto"/>
        <w:rPr>
          <w:sz w:val="20"/>
          <w:szCs w:val="20"/>
          <w:lang w:val="es-ES"/>
        </w:rPr>
      </w:pPr>
      <w:r>
        <w:rPr>
          <w:sz w:val="20"/>
          <w:szCs w:val="20"/>
          <w:lang w:val="es-ES"/>
        </w:rPr>
        <w:t>L</w:t>
      </w:r>
      <w:r w:rsidR="009B5B36" w:rsidRPr="00B749B1">
        <w:rPr>
          <w:sz w:val="20"/>
          <w:szCs w:val="20"/>
          <w:lang w:val="es-ES"/>
        </w:rPr>
        <w:t xml:space="preserve">a presentación será seguida por un </w:t>
      </w:r>
      <w:r w:rsidR="009B5B36" w:rsidRPr="00B749B1">
        <w:rPr>
          <w:b/>
          <w:sz w:val="20"/>
          <w:szCs w:val="20"/>
          <w:lang w:val="es-ES"/>
        </w:rPr>
        <w:t>ejercicio de simulación</w:t>
      </w:r>
      <w:r w:rsidR="009B5B36" w:rsidRPr="00B749B1">
        <w:rPr>
          <w:sz w:val="20"/>
          <w:szCs w:val="20"/>
          <w:lang w:val="es-ES"/>
        </w:rPr>
        <w:t xml:space="preserve"> consistente en </w:t>
      </w:r>
      <w:r w:rsidR="009B5B36" w:rsidRPr="00B749B1">
        <w:rPr>
          <w:b/>
          <w:sz w:val="20"/>
          <w:szCs w:val="20"/>
          <w:lang w:val="es-ES"/>
        </w:rPr>
        <w:t>la redacción de una solicitud para el establecimiento de un grupo especial</w:t>
      </w:r>
      <w:r w:rsidR="009B5B36" w:rsidRPr="00B749B1">
        <w:rPr>
          <w:sz w:val="20"/>
          <w:szCs w:val="20"/>
          <w:lang w:val="es-ES"/>
        </w:rPr>
        <w:t>. Cada equipo recibirá instrucciones del gobierno de un Miembro de la OMC imaginario para redactar una solicitud de establecimiento de un grupo especial.</w:t>
      </w:r>
      <w:r w:rsidR="00791827">
        <w:rPr>
          <w:sz w:val="20"/>
          <w:szCs w:val="20"/>
          <w:lang w:val="es-ES"/>
        </w:rPr>
        <w:t xml:space="preserve"> </w:t>
      </w:r>
      <w:bookmarkStart w:id="1" w:name="_Hlk20488661"/>
      <w:r w:rsidR="00DC1B03" w:rsidRPr="00B749B1">
        <w:rPr>
          <w:sz w:val="20"/>
          <w:szCs w:val="20"/>
          <w:lang w:val="es-ES"/>
        </w:rPr>
        <w:t xml:space="preserve">Tras estudiar las solicitudes de establecimiento de todos los grupos de forma individual, se celebrará una </w:t>
      </w:r>
      <w:r w:rsidR="00DC1B03" w:rsidRPr="00B749B1">
        <w:rPr>
          <w:b/>
          <w:sz w:val="20"/>
          <w:szCs w:val="20"/>
          <w:lang w:val="es-ES"/>
        </w:rPr>
        <w:t>mesa redonda</w:t>
      </w:r>
      <w:r w:rsidR="00DC1B03" w:rsidRPr="00B749B1">
        <w:rPr>
          <w:sz w:val="20"/>
          <w:szCs w:val="20"/>
          <w:lang w:val="es-ES"/>
        </w:rPr>
        <w:t xml:space="preserve"> en la que cada equipo analizará su propia solicitud y la de los otros equipos, siempre a la luz de los requisitos del</w:t>
      </w:r>
      <w:r w:rsidR="00FF3C6C">
        <w:rPr>
          <w:sz w:val="20"/>
          <w:szCs w:val="20"/>
          <w:lang w:val="es-ES"/>
        </w:rPr>
        <w:t xml:space="preserve"> párrafo 2 del</w:t>
      </w:r>
      <w:r w:rsidR="00DC1B03" w:rsidRPr="00B749B1">
        <w:rPr>
          <w:sz w:val="20"/>
          <w:szCs w:val="20"/>
          <w:lang w:val="es-ES"/>
        </w:rPr>
        <w:t xml:space="preserve"> artículo 6 del ESD</w:t>
      </w:r>
      <w:r>
        <w:rPr>
          <w:sz w:val="20"/>
          <w:szCs w:val="20"/>
          <w:lang w:val="es-ES"/>
        </w:rPr>
        <w:t>.</w:t>
      </w:r>
      <w:bookmarkEnd w:id="1"/>
    </w:p>
    <w:p w:rsidR="002835EB" w:rsidRPr="00B749B1" w:rsidRDefault="002835EB" w:rsidP="00472D58">
      <w:pPr>
        <w:spacing w:after="200" w:line="360" w:lineRule="auto"/>
        <w:jc w:val="center"/>
        <w:rPr>
          <w:b/>
          <w:color w:val="FF0000"/>
          <w:sz w:val="20"/>
          <w:szCs w:val="20"/>
          <w:lang w:val="es-ES_tradnl"/>
        </w:rPr>
      </w:pPr>
      <w:r w:rsidRPr="00B749B1">
        <w:rPr>
          <w:b/>
          <w:color w:val="FF0000"/>
          <w:sz w:val="20"/>
          <w:szCs w:val="20"/>
          <w:lang w:val="es-ES_tradnl"/>
        </w:rPr>
        <w:t>6 DE NOVIEMBRE DE 2019</w:t>
      </w:r>
    </w:p>
    <w:p w:rsidR="000E41BD" w:rsidRPr="00B749B1" w:rsidRDefault="00A77376" w:rsidP="00EA4543">
      <w:pPr>
        <w:pStyle w:val="Heading1"/>
        <w:spacing w:line="360" w:lineRule="auto"/>
        <w:rPr>
          <w:sz w:val="20"/>
          <w:szCs w:val="20"/>
          <w:lang w:val="es-ES"/>
        </w:rPr>
      </w:pPr>
      <w:r w:rsidRPr="00B749B1">
        <w:rPr>
          <w:sz w:val="20"/>
          <w:szCs w:val="20"/>
          <w:lang w:val="es-ES"/>
        </w:rPr>
        <w:t>la práctica procesal</w:t>
      </w:r>
      <w:r w:rsidR="000E41BD" w:rsidRPr="00B749B1">
        <w:rPr>
          <w:sz w:val="20"/>
          <w:szCs w:val="20"/>
          <w:lang w:val="es-ES"/>
        </w:rPr>
        <w:t xml:space="preserve">: Jurisprudencia y práctica. Ejercicio 2 </w:t>
      </w:r>
    </w:p>
    <w:p w:rsidR="00DC1B03" w:rsidRPr="00B749B1" w:rsidRDefault="00DC1B03" w:rsidP="00EA4543">
      <w:pPr>
        <w:pStyle w:val="SummaryText"/>
        <w:numPr>
          <w:ilvl w:val="0"/>
          <w:numId w:val="0"/>
        </w:numPr>
        <w:spacing w:line="360" w:lineRule="auto"/>
        <w:rPr>
          <w:rFonts w:eastAsia="Times New Roman"/>
          <w:sz w:val="20"/>
          <w:szCs w:val="20"/>
          <w:lang w:val="es-ES"/>
        </w:rPr>
      </w:pPr>
      <w:r w:rsidRPr="00B749B1">
        <w:rPr>
          <w:rFonts w:eastAsia="Times New Roman"/>
          <w:sz w:val="20"/>
          <w:szCs w:val="20"/>
          <w:lang w:val="es-ES"/>
        </w:rPr>
        <w:t xml:space="preserve">Junto a las reglas procesales contenidas en el ESD, la práctica procesal ha experimentado un gran desarrollo en los últimos casi 25 años. </w:t>
      </w:r>
      <w:r w:rsidRPr="00B749B1">
        <w:rPr>
          <w:sz w:val="20"/>
          <w:szCs w:val="20"/>
          <w:lang w:val="es-ES"/>
        </w:rPr>
        <w:t>Junto a la jurisprudencia de corte sustantivo sobre la interpretación de los distintos Acuerdos de la OMC que examinaremos el primer día del curso, nos centraremos en el desarrollo reciente de los procedimientos de solución de diferencias con respecto a ciertas cuestiones</w:t>
      </w:r>
      <w:r w:rsidR="00345912">
        <w:rPr>
          <w:sz w:val="20"/>
          <w:szCs w:val="20"/>
          <w:lang w:val="es-ES"/>
        </w:rPr>
        <w:t>,</w:t>
      </w:r>
      <w:r w:rsidRPr="00B749B1">
        <w:rPr>
          <w:sz w:val="20"/>
          <w:szCs w:val="20"/>
          <w:lang w:val="es-ES"/>
        </w:rPr>
        <w:t xml:space="preserve"> </w:t>
      </w:r>
      <w:r w:rsidR="00CE588E">
        <w:rPr>
          <w:sz w:val="20"/>
          <w:szCs w:val="20"/>
          <w:lang w:val="es-ES"/>
        </w:rPr>
        <w:t>tales como</w:t>
      </w:r>
      <w:r w:rsidRPr="00B749B1">
        <w:rPr>
          <w:sz w:val="20"/>
          <w:szCs w:val="20"/>
          <w:lang w:val="es-ES"/>
        </w:rPr>
        <w:t xml:space="preserve"> l</w:t>
      </w:r>
      <w:r w:rsidR="00CE588E">
        <w:rPr>
          <w:sz w:val="20"/>
          <w:szCs w:val="20"/>
          <w:lang w:val="es-ES"/>
        </w:rPr>
        <w:t>a mejora de l</w:t>
      </w:r>
      <w:r w:rsidRPr="00B749B1">
        <w:rPr>
          <w:sz w:val="20"/>
          <w:szCs w:val="20"/>
          <w:lang w:val="es-ES"/>
        </w:rPr>
        <w:t>os derechos de terceros; el proceso de consulta de expertos en procedimientos al amparo del Acuerdo de Medidas Sanitarias y Fitosanitarias; las audiencias públicas; la confidencialidad; la coordinación de grupos especiales del párrafo 5 del artículo 21 del ESD; la solicitud del grupo especial bajo el párrafo 5 del artículo 21 del ESD por parte del demandado y arbitrajes del párrafo 6 del artículo 22 del ESD</w:t>
      </w:r>
      <w:r w:rsidR="00430CDD">
        <w:rPr>
          <w:sz w:val="20"/>
          <w:szCs w:val="20"/>
          <w:lang w:val="es-ES"/>
        </w:rPr>
        <w:t>;</w:t>
      </w:r>
      <w:r w:rsidRPr="00B749B1">
        <w:rPr>
          <w:sz w:val="20"/>
          <w:szCs w:val="20"/>
          <w:lang w:val="es-ES"/>
        </w:rPr>
        <w:t xml:space="preserve"> la composición de grupos especiales y de árbitros bajo el párrafo 6 del artículo 22 del ESD</w:t>
      </w:r>
      <w:r w:rsidR="00430CDD">
        <w:rPr>
          <w:sz w:val="20"/>
          <w:szCs w:val="20"/>
          <w:lang w:val="es-ES"/>
        </w:rPr>
        <w:t>;</w:t>
      </w:r>
      <w:r w:rsidRPr="00B749B1">
        <w:rPr>
          <w:sz w:val="20"/>
          <w:szCs w:val="20"/>
          <w:lang w:val="es-ES"/>
        </w:rPr>
        <w:t xml:space="preserve"> </w:t>
      </w:r>
      <w:r w:rsidRPr="00B749B1">
        <w:rPr>
          <w:rFonts w:eastAsia="Times New Roman"/>
          <w:sz w:val="20"/>
          <w:szCs w:val="20"/>
          <w:lang w:val="es-ES"/>
        </w:rPr>
        <w:t xml:space="preserve">las reuniones </w:t>
      </w:r>
      <w:proofErr w:type="spellStart"/>
      <w:r w:rsidRPr="00B749B1">
        <w:rPr>
          <w:rFonts w:eastAsia="Times New Roman"/>
          <w:sz w:val="20"/>
          <w:szCs w:val="20"/>
          <w:lang w:val="es-ES"/>
        </w:rPr>
        <w:t>pre-organizativas</w:t>
      </w:r>
      <w:proofErr w:type="spellEnd"/>
      <w:r w:rsidR="00430CDD">
        <w:rPr>
          <w:rFonts w:eastAsia="Times New Roman"/>
          <w:sz w:val="20"/>
          <w:szCs w:val="20"/>
          <w:lang w:val="es-ES"/>
        </w:rPr>
        <w:t>;</w:t>
      </w:r>
      <w:r w:rsidRPr="00B749B1">
        <w:rPr>
          <w:sz w:val="20"/>
          <w:szCs w:val="20"/>
          <w:lang w:val="es-ES"/>
        </w:rPr>
        <w:t xml:space="preserve"> etc. </w:t>
      </w:r>
    </w:p>
    <w:p w:rsidR="00A239AB" w:rsidRDefault="00A239AB">
      <w:pPr>
        <w:spacing w:after="200" w:line="276" w:lineRule="auto"/>
        <w:jc w:val="left"/>
        <w:rPr>
          <w:rFonts w:eastAsia="Calibri" w:cs="Times New Roman"/>
          <w:sz w:val="20"/>
          <w:szCs w:val="20"/>
          <w:lang w:val="es-ES"/>
        </w:rPr>
      </w:pPr>
      <w:r>
        <w:rPr>
          <w:sz w:val="20"/>
          <w:szCs w:val="20"/>
          <w:lang w:val="es-ES"/>
        </w:rPr>
        <w:br w:type="page"/>
      </w:r>
    </w:p>
    <w:p w:rsidR="000E41BD" w:rsidRPr="00B749B1" w:rsidRDefault="00DC1B03" w:rsidP="00EA4543">
      <w:pPr>
        <w:pStyle w:val="SummaryText"/>
        <w:numPr>
          <w:ilvl w:val="0"/>
          <w:numId w:val="0"/>
        </w:numPr>
        <w:spacing w:line="360" w:lineRule="auto"/>
        <w:rPr>
          <w:rFonts w:eastAsia="Times New Roman"/>
          <w:sz w:val="20"/>
          <w:szCs w:val="20"/>
          <w:lang w:val="es-ES"/>
        </w:rPr>
      </w:pPr>
      <w:r w:rsidRPr="00B749B1">
        <w:rPr>
          <w:sz w:val="20"/>
          <w:szCs w:val="20"/>
          <w:lang w:val="es-ES"/>
        </w:rPr>
        <w:lastRenderedPageBreak/>
        <w:t xml:space="preserve">Junto a estos avances procesales, </w:t>
      </w:r>
      <w:r w:rsidR="00CE588E">
        <w:rPr>
          <w:sz w:val="20"/>
          <w:szCs w:val="20"/>
          <w:lang w:val="es-ES"/>
        </w:rPr>
        <w:t xml:space="preserve">prestaremos especial atención a un desarrollo procesal ausente del ESD que se ha convertido </w:t>
      </w:r>
      <w:r w:rsidR="000E41BD" w:rsidRPr="00B749B1">
        <w:rPr>
          <w:sz w:val="20"/>
          <w:szCs w:val="20"/>
          <w:lang w:val="es-ES"/>
        </w:rPr>
        <w:t xml:space="preserve">en un elemento habitual del procedimiento de solución de diferencias de la OMC. </w:t>
      </w:r>
      <w:r w:rsidRPr="00B749B1">
        <w:rPr>
          <w:sz w:val="20"/>
          <w:szCs w:val="20"/>
          <w:lang w:val="es-ES"/>
        </w:rPr>
        <w:t xml:space="preserve">Nos referimos a las objeciones preliminares con la consiguiente solicitud de decisión preliminar por parte del grupo especial. </w:t>
      </w:r>
      <w:r w:rsidR="000E41BD" w:rsidRPr="00B749B1">
        <w:rPr>
          <w:sz w:val="20"/>
          <w:szCs w:val="20"/>
          <w:lang w:val="es-ES"/>
        </w:rPr>
        <w:t>A diferencia de lo que sucede en otras jurisdicciones, el sistema de solución de diferencias de la OMC no prevé normas sobre la forma de abordar las solicitudes presentadas por las partes para que el órgano jurisdiccional formule una resolución preliminar sobre determinadas cuestiones de naturaleza procesal o jurisdiccional. No obstante, a lo largo de los años las partes han solicitado a los grupos especiales y al Órgano de Apelación que formulasen "resoluciones preliminares" sobre diversas cuestiones.</w:t>
      </w:r>
    </w:p>
    <w:p w:rsidR="000E41BD" w:rsidRPr="00B749B1" w:rsidRDefault="000E41BD" w:rsidP="00EA4543">
      <w:pPr>
        <w:pStyle w:val="SummaryText"/>
        <w:numPr>
          <w:ilvl w:val="0"/>
          <w:numId w:val="0"/>
        </w:numPr>
        <w:spacing w:line="360" w:lineRule="auto"/>
        <w:rPr>
          <w:rFonts w:eastAsia="Times New Roman"/>
          <w:sz w:val="20"/>
          <w:szCs w:val="20"/>
          <w:lang w:val="es-ES"/>
        </w:rPr>
      </w:pPr>
      <w:r w:rsidRPr="00B749B1">
        <w:rPr>
          <w:sz w:val="20"/>
          <w:szCs w:val="20"/>
          <w:lang w:val="es-ES"/>
        </w:rPr>
        <w:t>El objeto más frecuente de estas solicitudes es la compatibilidad de la solicitud de establecimiento de un grupo especial con el párrafo 2 del artículo 6 del ESD. Otras solicitudes se refieren, por ejemplo, a la idoneidad de las consultas, cuestiones jurisdiccionales, asuntos relacionados con la composición de los grupos especiales, presuntos conflictos de interés, la ampliación de los derechos de los terceros</w:t>
      </w:r>
      <w:bookmarkStart w:id="2" w:name="_Ref466311579"/>
      <w:r w:rsidRPr="00B749B1">
        <w:rPr>
          <w:sz w:val="20"/>
          <w:szCs w:val="20"/>
          <w:lang w:val="es-ES"/>
        </w:rPr>
        <w:t>,</w:t>
      </w:r>
      <w:bookmarkEnd w:id="2"/>
      <w:r w:rsidRPr="00B749B1">
        <w:rPr>
          <w:sz w:val="20"/>
          <w:szCs w:val="20"/>
          <w:lang w:val="es-ES"/>
        </w:rPr>
        <w:t xml:space="preserve"> la admisibilidad de determinadas pruebas, los procedimientos aplicables a la información comercial confidencial y otras cuestiones relacionadas con la confidencialidad, la participación de asesores jurídicos privados o representantes de la industria, el calendario del grupo especial, los escritos</w:t>
      </w:r>
      <w:r w:rsidRPr="00B749B1">
        <w:rPr>
          <w:i/>
          <w:sz w:val="20"/>
          <w:szCs w:val="20"/>
          <w:lang w:val="es-ES"/>
        </w:rPr>
        <w:t xml:space="preserve"> </w:t>
      </w:r>
      <w:proofErr w:type="spellStart"/>
      <w:r w:rsidRPr="00B749B1">
        <w:rPr>
          <w:i/>
          <w:sz w:val="20"/>
          <w:szCs w:val="20"/>
          <w:lang w:val="es-ES"/>
        </w:rPr>
        <w:t>amicus</w:t>
      </w:r>
      <w:proofErr w:type="spellEnd"/>
      <w:r w:rsidRPr="00B749B1">
        <w:rPr>
          <w:sz w:val="20"/>
          <w:szCs w:val="20"/>
          <w:lang w:val="es-ES"/>
        </w:rPr>
        <w:t xml:space="preserve"> </w:t>
      </w:r>
      <w:proofErr w:type="spellStart"/>
      <w:r w:rsidRPr="00B749B1">
        <w:rPr>
          <w:i/>
          <w:sz w:val="20"/>
          <w:szCs w:val="20"/>
          <w:lang w:val="es-ES"/>
        </w:rPr>
        <w:t>curiae</w:t>
      </w:r>
      <w:proofErr w:type="spellEnd"/>
      <w:r w:rsidRPr="00B749B1">
        <w:rPr>
          <w:sz w:val="20"/>
          <w:szCs w:val="20"/>
          <w:lang w:val="es-ES"/>
        </w:rPr>
        <w:t>, las audiencias públicas, las consultas con expertos científicos y la interpretación en un idioma distinto de los idiomas oficiales de la OMC.</w:t>
      </w:r>
      <w:r w:rsidRPr="00B749B1">
        <w:rPr>
          <w:rFonts w:eastAsia="Times New Roman"/>
          <w:sz w:val="20"/>
          <w:szCs w:val="20"/>
          <w:lang w:val="es-ES"/>
        </w:rPr>
        <w:t xml:space="preserve"> </w:t>
      </w:r>
    </w:p>
    <w:p w:rsidR="000E41BD" w:rsidRPr="00B749B1" w:rsidRDefault="000E41BD" w:rsidP="00EA4543">
      <w:pPr>
        <w:pStyle w:val="SummaryText"/>
        <w:numPr>
          <w:ilvl w:val="0"/>
          <w:numId w:val="0"/>
        </w:numPr>
        <w:spacing w:line="360" w:lineRule="auto"/>
        <w:rPr>
          <w:sz w:val="20"/>
          <w:szCs w:val="20"/>
          <w:lang w:val="es-ES"/>
        </w:rPr>
      </w:pPr>
      <w:r w:rsidRPr="00B749B1">
        <w:rPr>
          <w:sz w:val="20"/>
          <w:szCs w:val="20"/>
          <w:lang w:val="es-ES"/>
        </w:rPr>
        <w:t xml:space="preserve">Los participantes trabajarán juntos para </w:t>
      </w:r>
      <w:r w:rsidRPr="00495EA4">
        <w:rPr>
          <w:sz w:val="20"/>
          <w:szCs w:val="20"/>
          <w:lang w:val="es-ES"/>
        </w:rPr>
        <w:t xml:space="preserve">redactar </w:t>
      </w:r>
      <w:r w:rsidRPr="00A239AB">
        <w:rPr>
          <w:b/>
          <w:sz w:val="20"/>
          <w:szCs w:val="20"/>
          <w:lang w:val="es-ES"/>
        </w:rPr>
        <w:t>una solicitud de resolución preliminar</w:t>
      </w:r>
      <w:r w:rsidRPr="00B749B1">
        <w:rPr>
          <w:sz w:val="20"/>
          <w:szCs w:val="20"/>
          <w:lang w:val="es-ES"/>
        </w:rPr>
        <w:t xml:space="preserve"> sobre la base del material proporcionado y bajo la orientación de l</w:t>
      </w:r>
      <w:r w:rsidR="00496B48" w:rsidRPr="00B749B1">
        <w:rPr>
          <w:sz w:val="20"/>
          <w:szCs w:val="20"/>
          <w:lang w:val="es-ES"/>
        </w:rPr>
        <w:t>os</w:t>
      </w:r>
      <w:r w:rsidRPr="00B749B1">
        <w:rPr>
          <w:sz w:val="20"/>
          <w:szCs w:val="20"/>
          <w:lang w:val="es-ES"/>
        </w:rPr>
        <w:t xml:space="preserve"> </w:t>
      </w:r>
      <w:r w:rsidR="00E24A72" w:rsidRPr="00B749B1">
        <w:rPr>
          <w:sz w:val="20"/>
          <w:szCs w:val="20"/>
          <w:lang w:val="es-ES"/>
        </w:rPr>
        <w:t>ponentes</w:t>
      </w:r>
      <w:r w:rsidRPr="00B749B1">
        <w:rPr>
          <w:sz w:val="20"/>
          <w:szCs w:val="20"/>
          <w:lang w:val="es-ES"/>
        </w:rPr>
        <w:t>.</w:t>
      </w:r>
      <w:r w:rsidR="00495EA4" w:rsidRPr="00495EA4">
        <w:rPr>
          <w:sz w:val="20"/>
          <w:szCs w:val="20"/>
          <w:lang w:val="es-ES"/>
        </w:rPr>
        <w:t xml:space="preserve"> Una vez finalizadas, se celebrará una </w:t>
      </w:r>
      <w:r w:rsidR="00495EA4" w:rsidRPr="00A239AB">
        <w:rPr>
          <w:b/>
          <w:sz w:val="20"/>
          <w:szCs w:val="20"/>
          <w:lang w:val="es-ES"/>
        </w:rPr>
        <w:t>mesa redonda</w:t>
      </w:r>
      <w:r w:rsidR="00495EA4" w:rsidRPr="00495EA4">
        <w:rPr>
          <w:sz w:val="20"/>
          <w:szCs w:val="20"/>
          <w:lang w:val="es-ES"/>
        </w:rPr>
        <w:t xml:space="preserve"> en la que cada equipo analizará su propia solicitud y la de los otros equipos.</w:t>
      </w:r>
      <w:r w:rsidRPr="00B749B1">
        <w:rPr>
          <w:sz w:val="20"/>
          <w:szCs w:val="20"/>
          <w:lang w:val="es-ES"/>
        </w:rPr>
        <w:t xml:space="preserve"> </w:t>
      </w:r>
    </w:p>
    <w:p w:rsidR="00A239AB" w:rsidRDefault="00A239AB">
      <w:pPr>
        <w:spacing w:after="200" w:line="276" w:lineRule="auto"/>
        <w:jc w:val="left"/>
        <w:rPr>
          <w:b/>
          <w:color w:val="FF0000"/>
          <w:sz w:val="20"/>
          <w:szCs w:val="20"/>
          <w:lang w:val="es-ES_tradnl"/>
        </w:rPr>
      </w:pPr>
      <w:r>
        <w:rPr>
          <w:b/>
          <w:color w:val="FF0000"/>
          <w:sz w:val="20"/>
          <w:szCs w:val="20"/>
          <w:lang w:val="es-ES_tradnl"/>
        </w:rPr>
        <w:br w:type="page"/>
      </w:r>
    </w:p>
    <w:p w:rsidR="0074783C" w:rsidRPr="00B749B1" w:rsidRDefault="0074783C" w:rsidP="00472D58">
      <w:pPr>
        <w:spacing w:after="200" w:line="360" w:lineRule="auto"/>
        <w:jc w:val="center"/>
        <w:rPr>
          <w:b/>
          <w:color w:val="FF0000"/>
          <w:sz w:val="20"/>
          <w:szCs w:val="20"/>
          <w:lang w:val="es-ES_tradnl"/>
        </w:rPr>
      </w:pPr>
      <w:r w:rsidRPr="00B749B1">
        <w:rPr>
          <w:b/>
          <w:color w:val="FF0000"/>
          <w:sz w:val="20"/>
          <w:szCs w:val="20"/>
          <w:lang w:val="es-ES_tradnl"/>
        </w:rPr>
        <w:lastRenderedPageBreak/>
        <w:t>7 DE NOVIEMBRE DE 2019</w:t>
      </w:r>
    </w:p>
    <w:p w:rsidR="00DD79CC" w:rsidRPr="00B749B1" w:rsidRDefault="006B546B" w:rsidP="00EA4543">
      <w:pPr>
        <w:pStyle w:val="Heading1"/>
        <w:spacing w:line="360" w:lineRule="auto"/>
        <w:rPr>
          <w:sz w:val="20"/>
          <w:szCs w:val="20"/>
          <w:lang w:val="es-ES_tradnl"/>
        </w:rPr>
      </w:pPr>
      <w:r>
        <w:rPr>
          <w:sz w:val="20"/>
          <w:szCs w:val="20"/>
          <w:lang w:val="es-ES_tradnl"/>
        </w:rPr>
        <w:t>PLEITEAR</w:t>
      </w:r>
      <w:r w:rsidR="00630C92" w:rsidRPr="00B749B1">
        <w:rPr>
          <w:sz w:val="20"/>
          <w:szCs w:val="20"/>
          <w:lang w:val="es-ES_tradnl"/>
        </w:rPr>
        <w:t xml:space="preserve"> </w:t>
      </w:r>
      <w:r w:rsidR="00081948" w:rsidRPr="00B749B1">
        <w:rPr>
          <w:sz w:val="20"/>
          <w:szCs w:val="20"/>
          <w:lang w:val="es-ES_tradnl"/>
        </w:rPr>
        <w:t>en la omc</w:t>
      </w:r>
      <w:r w:rsidR="00020828" w:rsidRPr="00B749B1">
        <w:rPr>
          <w:sz w:val="20"/>
          <w:szCs w:val="20"/>
          <w:lang w:val="es-ES_tradnl"/>
        </w:rPr>
        <w:t>.</w:t>
      </w:r>
      <w:r w:rsidR="00081948" w:rsidRPr="00B749B1">
        <w:rPr>
          <w:sz w:val="20"/>
          <w:szCs w:val="20"/>
          <w:lang w:val="es-ES_tradnl"/>
        </w:rPr>
        <w:t xml:space="preserve"> Ejercicio 3</w:t>
      </w:r>
    </w:p>
    <w:p w:rsidR="00377B63" w:rsidRDefault="00D13592" w:rsidP="00EA4543">
      <w:pPr>
        <w:pStyle w:val="SummaryText"/>
        <w:numPr>
          <w:ilvl w:val="0"/>
          <w:numId w:val="0"/>
        </w:numPr>
        <w:spacing w:line="360" w:lineRule="auto"/>
        <w:rPr>
          <w:sz w:val="20"/>
          <w:szCs w:val="20"/>
          <w:lang w:val="es-ES_tradnl"/>
        </w:rPr>
      </w:pPr>
      <w:r>
        <w:rPr>
          <w:sz w:val="20"/>
          <w:szCs w:val="20"/>
          <w:lang w:val="es-ES_tradnl"/>
        </w:rPr>
        <w:t xml:space="preserve">En esta sección nos </w:t>
      </w:r>
      <w:r w:rsidR="00062240">
        <w:rPr>
          <w:sz w:val="20"/>
          <w:szCs w:val="20"/>
          <w:lang w:val="es-ES_tradnl"/>
        </w:rPr>
        <w:t xml:space="preserve">centraremos </w:t>
      </w:r>
      <w:r>
        <w:rPr>
          <w:sz w:val="20"/>
          <w:szCs w:val="20"/>
          <w:lang w:val="es-ES_tradnl"/>
        </w:rPr>
        <w:t xml:space="preserve">en </w:t>
      </w:r>
      <w:r w:rsidR="00062240">
        <w:rPr>
          <w:sz w:val="20"/>
          <w:szCs w:val="20"/>
          <w:lang w:val="es-ES_tradnl"/>
        </w:rPr>
        <w:t xml:space="preserve">las herramientas necesarias para pleitear de forma eficaz ante los órganos jurisdiccionales de la OMC. Comenzaremos con aquellas normas </w:t>
      </w:r>
      <w:r w:rsidR="005D08F3" w:rsidRPr="00B749B1">
        <w:rPr>
          <w:sz w:val="20"/>
          <w:szCs w:val="20"/>
          <w:lang w:val="es-ES_tradnl"/>
        </w:rPr>
        <w:t xml:space="preserve">procesales que determinan el carácter del </w:t>
      </w:r>
      <w:r w:rsidR="00062240">
        <w:rPr>
          <w:sz w:val="20"/>
          <w:szCs w:val="20"/>
          <w:lang w:val="es-ES_tradnl"/>
        </w:rPr>
        <w:t>pleito/</w:t>
      </w:r>
      <w:r w:rsidR="005D08F3" w:rsidRPr="00B749B1">
        <w:rPr>
          <w:sz w:val="20"/>
          <w:szCs w:val="20"/>
          <w:lang w:val="es-ES_tradnl"/>
        </w:rPr>
        <w:t xml:space="preserve">litigio ante </w:t>
      </w:r>
      <w:r w:rsidR="00D85EB7" w:rsidRPr="00B749B1">
        <w:rPr>
          <w:sz w:val="20"/>
          <w:szCs w:val="20"/>
          <w:lang w:val="es-ES_tradnl"/>
        </w:rPr>
        <w:t>los</w:t>
      </w:r>
      <w:r w:rsidR="00062240">
        <w:rPr>
          <w:sz w:val="20"/>
          <w:szCs w:val="20"/>
          <w:lang w:val="es-ES_tradnl"/>
        </w:rPr>
        <w:t xml:space="preserve"> grupos especiales y el Órgano de Apelación</w:t>
      </w:r>
      <w:r w:rsidR="005D08F3" w:rsidRPr="00B749B1">
        <w:rPr>
          <w:sz w:val="20"/>
          <w:szCs w:val="20"/>
          <w:lang w:val="es-ES_tradnl"/>
        </w:rPr>
        <w:t xml:space="preserve">. </w:t>
      </w:r>
      <w:r w:rsidR="00062240">
        <w:rPr>
          <w:sz w:val="20"/>
          <w:szCs w:val="20"/>
          <w:lang w:val="es-ES_tradnl"/>
        </w:rPr>
        <w:t>P</w:t>
      </w:r>
      <w:r w:rsidR="005D08F3" w:rsidRPr="00B749B1">
        <w:rPr>
          <w:sz w:val="20"/>
          <w:szCs w:val="20"/>
          <w:lang w:val="es-ES_tradnl"/>
        </w:rPr>
        <w:t>or ejemplo, la carga de la prueba, las normas de evidencia, el tratamiento de información confidencial, y las normas de interpretación.</w:t>
      </w:r>
      <w:r w:rsidR="007C10A7" w:rsidRPr="00B749B1">
        <w:rPr>
          <w:sz w:val="20"/>
          <w:szCs w:val="20"/>
          <w:lang w:val="es-ES_tradnl"/>
        </w:rPr>
        <w:t xml:space="preserve"> </w:t>
      </w:r>
    </w:p>
    <w:p w:rsidR="00FF7492" w:rsidRDefault="00377B63" w:rsidP="00EA4543">
      <w:pPr>
        <w:pStyle w:val="SummaryText"/>
        <w:numPr>
          <w:ilvl w:val="0"/>
          <w:numId w:val="0"/>
        </w:numPr>
        <w:spacing w:line="360" w:lineRule="auto"/>
        <w:rPr>
          <w:sz w:val="20"/>
          <w:szCs w:val="20"/>
          <w:lang w:val="es-ES_tradnl"/>
        </w:rPr>
      </w:pPr>
      <w:r>
        <w:rPr>
          <w:sz w:val="20"/>
          <w:szCs w:val="20"/>
          <w:lang w:val="es-ES_tradnl"/>
        </w:rPr>
        <w:t xml:space="preserve">Seguidamente, examinaremos </w:t>
      </w:r>
      <w:r w:rsidR="00435466" w:rsidRPr="00B749B1">
        <w:rPr>
          <w:sz w:val="20"/>
          <w:szCs w:val="20"/>
          <w:lang w:val="es-ES_tradnl"/>
        </w:rPr>
        <w:t xml:space="preserve">las estrategias </w:t>
      </w:r>
      <w:r>
        <w:rPr>
          <w:sz w:val="20"/>
          <w:szCs w:val="20"/>
          <w:lang w:val="es-ES_tradnl"/>
        </w:rPr>
        <w:t xml:space="preserve">y "mejores prácticas" </w:t>
      </w:r>
      <w:r w:rsidR="00435466" w:rsidRPr="00B749B1">
        <w:rPr>
          <w:sz w:val="20"/>
          <w:szCs w:val="20"/>
          <w:lang w:val="es-ES_tradnl"/>
        </w:rPr>
        <w:t>empleadas por reclamantes y demandados</w:t>
      </w:r>
      <w:r>
        <w:rPr>
          <w:sz w:val="20"/>
          <w:szCs w:val="20"/>
          <w:lang w:val="es-ES_tradnl"/>
        </w:rPr>
        <w:t xml:space="preserve"> cuando pleitean</w:t>
      </w:r>
      <w:r w:rsidR="00D0131F" w:rsidRPr="00B749B1">
        <w:rPr>
          <w:sz w:val="20"/>
          <w:szCs w:val="20"/>
          <w:lang w:val="es-ES_tradnl"/>
        </w:rPr>
        <w:t xml:space="preserve"> ante los grupos especiales/árbitros y el Órgano de Apelación</w:t>
      </w:r>
      <w:r w:rsidR="00435466" w:rsidRPr="00B749B1">
        <w:rPr>
          <w:sz w:val="20"/>
          <w:szCs w:val="20"/>
          <w:lang w:val="es-ES_tradnl"/>
        </w:rPr>
        <w:t xml:space="preserve">. </w:t>
      </w:r>
      <w:bookmarkStart w:id="3" w:name="_GoBack"/>
      <w:bookmarkEnd w:id="3"/>
    </w:p>
    <w:p w:rsidR="00FF7492" w:rsidRDefault="00377B63" w:rsidP="00EA4543">
      <w:pPr>
        <w:pStyle w:val="SummaryText"/>
        <w:numPr>
          <w:ilvl w:val="0"/>
          <w:numId w:val="0"/>
        </w:numPr>
        <w:spacing w:line="360" w:lineRule="auto"/>
        <w:rPr>
          <w:sz w:val="20"/>
          <w:szCs w:val="20"/>
          <w:lang w:val="es-ES_tradnl"/>
        </w:rPr>
      </w:pPr>
      <w:r>
        <w:rPr>
          <w:sz w:val="20"/>
          <w:szCs w:val="20"/>
          <w:lang w:val="es-ES_tradnl"/>
        </w:rPr>
        <w:t>D</w:t>
      </w:r>
      <w:r w:rsidR="00435466" w:rsidRPr="00B749B1">
        <w:rPr>
          <w:sz w:val="20"/>
          <w:szCs w:val="20"/>
          <w:lang w:val="es-ES_tradnl"/>
        </w:rPr>
        <w:t xml:space="preserve">esde la perspectiva del reclamante, </w:t>
      </w:r>
      <w:r>
        <w:rPr>
          <w:sz w:val="20"/>
          <w:szCs w:val="20"/>
          <w:lang w:val="es-ES_tradnl"/>
        </w:rPr>
        <w:t xml:space="preserve">estudiaremos </w:t>
      </w:r>
      <w:r w:rsidR="00435466" w:rsidRPr="00B749B1">
        <w:rPr>
          <w:sz w:val="20"/>
          <w:szCs w:val="20"/>
          <w:lang w:val="es-ES_tradnl"/>
        </w:rPr>
        <w:t xml:space="preserve">las tácticas de ataque, la prevención de defensas </w:t>
      </w:r>
      <w:r>
        <w:rPr>
          <w:sz w:val="20"/>
          <w:szCs w:val="20"/>
          <w:lang w:val="es-ES_tradnl"/>
        </w:rPr>
        <w:t xml:space="preserve">que pueda presentar </w:t>
      </w:r>
      <w:r w:rsidR="00435466" w:rsidRPr="00B749B1">
        <w:rPr>
          <w:sz w:val="20"/>
          <w:szCs w:val="20"/>
          <w:lang w:val="es-ES_tradnl"/>
        </w:rPr>
        <w:t xml:space="preserve">el demandado, la respuesta a </w:t>
      </w:r>
      <w:r>
        <w:rPr>
          <w:sz w:val="20"/>
          <w:szCs w:val="20"/>
          <w:lang w:val="es-ES_tradnl"/>
        </w:rPr>
        <w:t xml:space="preserve">posibles </w:t>
      </w:r>
      <w:r w:rsidR="00435466" w:rsidRPr="00B749B1">
        <w:rPr>
          <w:sz w:val="20"/>
          <w:szCs w:val="20"/>
          <w:lang w:val="es-ES_tradnl"/>
        </w:rPr>
        <w:t>objeciones preliminares, la redacción de las comunicaciones</w:t>
      </w:r>
      <w:r>
        <w:rPr>
          <w:sz w:val="20"/>
          <w:szCs w:val="20"/>
          <w:lang w:val="es-ES_tradnl"/>
        </w:rPr>
        <w:t xml:space="preserve"> y la actuación en las audiencias</w:t>
      </w:r>
      <w:r w:rsidR="00435466" w:rsidRPr="00B749B1">
        <w:rPr>
          <w:sz w:val="20"/>
          <w:szCs w:val="20"/>
          <w:lang w:val="es-ES_tradnl"/>
        </w:rPr>
        <w:t xml:space="preserve">. </w:t>
      </w:r>
    </w:p>
    <w:p w:rsidR="00E2150E" w:rsidRDefault="00377B63" w:rsidP="00EA4543">
      <w:pPr>
        <w:pStyle w:val="SummaryText"/>
        <w:numPr>
          <w:ilvl w:val="0"/>
          <w:numId w:val="0"/>
        </w:numPr>
        <w:spacing w:line="360" w:lineRule="auto"/>
        <w:rPr>
          <w:sz w:val="20"/>
          <w:szCs w:val="20"/>
          <w:lang w:val="es-ES_tradnl"/>
        </w:rPr>
      </w:pPr>
      <w:r>
        <w:rPr>
          <w:sz w:val="20"/>
          <w:szCs w:val="20"/>
          <w:lang w:val="es-ES_tradnl"/>
        </w:rPr>
        <w:t>D</w:t>
      </w:r>
      <w:r w:rsidR="00D0131F" w:rsidRPr="00B749B1">
        <w:rPr>
          <w:sz w:val="20"/>
          <w:szCs w:val="20"/>
          <w:lang w:val="es-ES_tradnl"/>
        </w:rPr>
        <w:t xml:space="preserve">esde la perspectiva del demandado, </w:t>
      </w:r>
      <w:r>
        <w:rPr>
          <w:sz w:val="20"/>
          <w:szCs w:val="20"/>
          <w:lang w:val="es-ES_tradnl"/>
        </w:rPr>
        <w:t>exploraremos</w:t>
      </w:r>
      <w:r w:rsidRPr="00B749B1">
        <w:rPr>
          <w:sz w:val="20"/>
          <w:szCs w:val="20"/>
          <w:lang w:val="es-ES_tradnl"/>
        </w:rPr>
        <w:t xml:space="preserve"> </w:t>
      </w:r>
      <w:r w:rsidR="00C755BA" w:rsidRPr="00B749B1">
        <w:rPr>
          <w:sz w:val="20"/>
          <w:szCs w:val="20"/>
          <w:lang w:val="es-ES_tradnl"/>
        </w:rPr>
        <w:t>las tácticas de defensa, el planteamiento de objeciones preliminares, la refutación de las alegaciones del reclamante, la invocación de defensas</w:t>
      </w:r>
      <w:r>
        <w:rPr>
          <w:sz w:val="20"/>
          <w:szCs w:val="20"/>
          <w:lang w:val="es-ES_tradnl"/>
        </w:rPr>
        <w:t xml:space="preserve"> y la actuación en las audiencias</w:t>
      </w:r>
      <w:r w:rsidR="00C755BA" w:rsidRPr="00B749B1">
        <w:rPr>
          <w:sz w:val="20"/>
          <w:szCs w:val="20"/>
          <w:lang w:val="es-ES_tradnl"/>
        </w:rPr>
        <w:t>.</w:t>
      </w:r>
    </w:p>
    <w:p w:rsidR="008B3EFB" w:rsidRPr="00B749B1" w:rsidRDefault="00377B63" w:rsidP="00EA4543">
      <w:pPr>
        <w:pStyle w:val="SummaryText"/>
        <w:numPr>
          <w:ilvl w:val="0"/>
          <w:numId w:val="0"/>
        </w:numPr>
        <w:spacing w:line="360" w:lineRule="auto"/>
        <w:rPr>
          <w:sz w:val="20"/>
          <w:szCs w:val="20"/>
          <w:lang w:val="es-ES"/>
        </w:rPr>
      </w:pPr>
      <w:r>
        <w:rPr>
          <w:sz w:val="20"/>
          <w:szCs w:val="20"/>
          <w:lang w:val="es-ES_tradnl"/>
        </w:rPr>
        <w:t xml:space="preserve">Para finalizar el curso, simularemos una </w:t>
      </w:r>
      <w:r w:rsidRPr="00A239AB">
        <w:rPr>
          <w:b/>
          <w:sz w:val="20"/>
          <w:szCs w:val="20"/>
          <w:lang w:val="es-ES_tradnl"/>
        </w:rPr>
        <w:t xml:space="preserve">audiencia </w:t>
      </w:r>
      <w:r w:rsidRPr="00A239AB">
        <w:rPr>
          <w:b/>
          <w:sz w:val="20"/>
          <w:szCs w:val="20"/>
          <w:lang w:val="es-ES"/>
        </w:rPr>
        <w:t>del Grupo Especial</w:t>
      </w:r>
      <w:r w:rsidRPr="00B749B1">
        <w:rPr>
          <w:sz w:val="20"/>
          <w:szCs w:val="20"/>
          <w:lang w:val="es-ES"/>
        </w:rPr>
        <w:t xml:space="preserve"> para </w:t>
      </w:r>
      <w:r>
        <w:rPr>
          <w:sz w:val="20"/>
          <w:szCs w:val="20"/>
          <w:lang w:val="es-ES"/>
        </w:rPr>
        <w:t xml:space="preserve">oír a las partes y a los terceros </w:t>
      </w:r>
      <w:r w:rsidRPr="00B749B1">
        <w:rPr>
          <w:sz w:val="20"/>
          <w:szCs w:val="20"/>
          <w:lang w:val="es-ES"/>
        </w:rPr>
        <w:t xml:space="preserve">sobre </w:t>
      </w:r>
      <w:r>
        <w:rPr>
          <w:sz w:val="20"/>
          <w:szCs w:val="20"/>
          <w:lang w:val="es-ES"/>
        </w:rPr>
        <w:t xml:space="preserve">una petición de </w:t>
      </w:r>
      <w:r w:rsidRPr="00B749B1">
        <w:rPr>
          <w:sz w:val="20"/>
          <w:szCs w:val="20"/>
          <w:lang w:val="es-ES"/>
        </w:rPr>
        <w:t>resolución preliminar</w:t>
      </w:r>
      <w:r w:rsidRPr="00B749B1">
        <w:rPr>
          <w:sz w:val="20"/>
          <w:szCs w:val="20"/>
          <w:lang w:val="es-ES_tradnl"/>
        </w:rPr>
        <w:t xml:space="preserve"> </w:t>
      </w:r>
      <w:r>
        <w:rPr>
          <w:sz w:val="20"/>
          <w:szCs w:val="20"/>
          <w:lang w:val="es-ES_tradnl"/>
        </w:rPr>
        <w:t xml:space="preserve">presentada por el demandado. </w:t>
      </w:r>
      <w:r w:rsidR="0048478B" w:rsidRPr="00B749B1">
        <w:rPr>
          <w:sz w:val="20"/>
          <w:szCs w:val="20"/>
          <w:lang w:val="es-ES"/>
        </w:rPr>
        <w:t xml:space="preserve">Una vez que la audiencia haya concluido, el </w:t>
      </w:r>
      <w:r w:rsidR="002205A2" w:rsidRPr="00B749B1">
        <w:rPr>
          <w:sz w:val="20"/>
          <w:szCs w:val="20"/>
          <w:lang w:val="es-ES"/>
        </w:rPr>
        <w:t>Grup</w:t>
      </w:r>
      <w:r w:rsidR="00291287" w:rsidRPr="00B749B1">
        <w:rPr>
          <w:sz w:val="20"/>
          <w:szCs w:val="20"/>
          <w:lang w:val="es-ES"/>
        </w:rPr>
        <w:t>o</w:t>
      </w:r>
      <w:r w:rsidR="002205A2" w:rsidRPr="00B749B1">
        <w:rPr>
          <w:sz w:val="20"/>
          <w:szCs w:val="20"/>
          <w:lang w:val="es-ES"/>
        </w:rPr>
        <w:t xml:space="preserve"> Especial</w:t>
      </w:r>
      <w:r w:rsidR="0048478B" w:rsidRPr="00B749B1">
        <w:rPr>
          <w:sz w:val="20"/>
          <w:szCs w:val="20"/>
          <w:lang w:val="es-ES"/>
        </w:rPr>
        <w:t xml:space="preserve"> se reunirá a puerta cerrada y tomará una decisión que se comunicará oralmente a las partes y a </w:t>
      </w:r>
      <w:r w:rsidR="00E87A3E" w:rsidRPr="00B749B1">
        <w:rPr>
          <w:sz w:val="20"/>
          <w:szCs w:val="20"/>
          <w:lang w:val="es-ES"/>
        </w:rPr>
        <w:t xml:space="preserve">los </w:t>
      </w:r>
      <w:r w:rsidR="0048478B" w:rsidRPr="00B749B1">
        <w:rPr>
          <w:sz w:val="20"/>
          <w:szCs w:val="20"/>
          <w:lang w:val="es-ES"/>
        </w:rPr>
        <w:t>terceros.</w:t>
      </w:r>
    </w:p>
    <w:p w:rsidR="000F5945" w:rsidRPr="00B749B1" w:rsidRDefault="00BE034B" w:rsidP="00EA4543">
      <w:pPr>
        <w:pStyle w:val="BodyText"/>
        <w:numPr>
          <w:ilvl w:val="0"/>
          <w:numId w:val="0"/>
        </w:numPr>
        <w:spacing w:line="360" w:lineRule="auto"/>
        <w:jc w:val="center"/>
        <w:rPr>
          <w:sz w:val="20"/>
          <w:szCs w:val="20"/>
          <w:lang w:val="es-ES"/>
        </w:rPr>
      </w:pPr>
      <w:r>
        <w:rPr>
          <w:sz w:val="20"/>
          <w:szCs w:val="20"/>
          <w:lang w:val="es-ES"/>
        </w:rPr>
        <w:t>* * * * *</w:t>
      </w:r>
    </w:p>
    <w:sectPr w:rsidR="000F5945" w:rsidRPr="00B749B1" w:rsidSect="002A15FB">
      <w:headerReference w:type="default" r:id="rId7"/>
      <w:footerReference w:type="default" r:id="rId8"/>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4EF" w:rsidRDefault="006D54EF" w:rsidP="00ED54E0">
      <w:r>
        <w:separator/>
      </w:r>
    </w:p>
  </w:endnote>
  <w:endnote w:type="continuationSeparator" w:id="0">
    <w:p w:rsidR="006D54EF" w:rsidRDefault="006D54E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661278"/>
      <w:docPartObj>
        <w:docPartGallery w:val="Page Numbers (Bottom of Page)"/>
        <w:docPartUnique/>
      </w:docPartObj>
    </w:sdtPr>
    <w:sdtEndPr>
      <w:rPr>
        <w:noProof/>
      </w:rPr>
    </w:sdtEndPr>
    <w:sdtContent>
      <w:p w:rsidR="00AF5519" w:rsidRDefault="00AF55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5519" w:rsidRDefault="00AF5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4EF" w:rsidRDefault="006D54EF" w:rsidP="00ED54E0">
      <w:r>
        <w:separator/>
      </w:r>
    </w:p>
  </w:footnote>
  <w:footnote w:type="continuationSeparator" w:id="0">
    <w:p w:rsidR="006D54EF" w:rsidRDefault="006D54E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36" w:rsidRDefault="009B5B36" w:rsidP="009B5B36">
    <w:pPr>
      <w:pStyle w:val="Header"/>
      <w:jc w:val="center"/>
    </w:pPr>
    <w:r>
      <w:rPr>
        <w:noProof/>
      </w:rPr>
      <w:drawing>
        <wp:inline distT="0" distB="0" distL="0" distR="0" wp14:anchorId="32FA5BA6" wp14:editId="499AB2E4">
          <wp:extent cx="836400" cy="1020000"/>
          <wp:effectExtent l="0" t="0" r="1905" b="889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6400" cy="1020000"/>
                  </a:xfrm>
                  <a:prstGeom prst="rect">
                    <a:avLst/>
                  </a:prstGeom>
                </pic:spPr>
              </pic:pic>
            </a:graphicData>
          </a:graphic>
        </wp:inline>
      </w:drawing>
    </w:r>
  </w:p>
  <w:p w:rsidR="00B749B1" w:rsidRDefault="00B749B1" w:rsidP="009B5B36">
    <w:pPr>
      <w:pStyle w:val="Header"/>
      <w:jc w:val="center"/>
    </w:pPr>
  </w:p>
  <w:p w:rsidR="00B749B1" w:rsidRDefault="00B749B1" w:rsidP="009B5B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07B89A92"/>
    <w:lvl w:ilvl="0" w:tplc="597421AE">
      <w:start w:val="1"/>
      <w:numFmt w:val="decimal"/>
      <w:pStyle w:val="SummaryText"/>
      <w:lvlText w:val="%1."/>
      <w:lvlJc w:val="left"/>
      <w:pPr>
        <w:ind w:left="360" w:hanging="360"/>
      </w:pPr>
      <w:rPr>
        <w:lang w:val="es-E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lvlOverride w:ilvl="6">
      <w:lvl w:ilvl="6">
        <w:start w:val="1"/>
        <w:numFmt w:val="decimal"/>
        <w:lvlRestart w:val="1"/>
        <w:pStyle w:val="BodyText"/>
        <w:isLgl/>
        <w:suff w:val="nothing"/>
        <w:lvlText w:val="%1.%7.  "/>
        <w:lvlJc w:val="left"/>
        <w:pPr>
          <w:ind w:left="0" w:firstLine="0"/>
        </w:pPr>
        <w:rPr>
          <w:rFonts w:hint="default"/>
        </w:rPr>
      </w:lvl>
    </w:lvlOverride>
  </w:num>
  <w:num w:numId="7">
    <w:abstractNumId w:val="12"/>
    <w:lvlOverride w:ilvl="6">
      <w:lvl w:ilvl="6">
        <w:start w:val="1"/>
        <w:numFmt w:val="decimal"/>
        <w:lvlRestart w:val="1"/>
        <w:isLgl/>
        <w:suff w:val="nothing"/>
        <w:lvlText w:val="%1.%7.  "/>
        <w:lvlJc w:val="left"/>
        <w:pPr>
          <w:ind w:left="0" w:firstLine="0"/>
        </w:pPr>
        <w:rPr>
          <w:rFonts w:hint="default"/>
        </w:rPr>
      </w:lvl>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2"/>
    <w:lvlOverride w:ilvl="6">
      <w:lvl w:ilvl="6">
        <w:start w:val="1"/>
        <w:numFmt w:val="decimal"/>
        <w:lvlRestart w:val="1"/>
        <w:isLgl/>
        <w:suff w:val="nothing"/>
        <w:lvlText w:val="%1.%7.  "/>
        <w:lvlJc w:val="left"/>
        <w:pPr>
          <w:ind w:left="0" w:firstLine="0"/>
        </w:pPr>
        <w:rPr>
          <w:rFonts w:hint="default"/>
        </w:rPr>
      </w:lvl>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64"/>
    <w:rsid w:val="00002016"/>
    <w:rsid w:val="000106E0"/>
    <w:rsid w:val="000111BB"/>
    <w:rsid w:val="00013A9C"/>
    <w:rsid w:val="00020828"/>
    <w:rsid w:val="00022C0F"/>
    <w:rsid w:val="000258D6"/>
    <w:rsid w:val="000272F6"/>
    <w:rsid w:val="00033C57"/>
    <w:rsid w:val="00037AC4"/>
    <w:rsid w:val="000423BF"/>
    <w:rsid w:val="000559FA"/>
    <w:rsid w:val="00062240"/>
    <w:rsid w:val="00081948"/>
    <w:rsid w:val="0009345E"/>
    <w:rsid w:val="000A4945"/>
    <w:rsid w:val="000B31E1"/>
    <w:rsid w:val="000B6E1F"/>
    <w:rsid w:val="000C2B0D"/>
    <w:rsid w:val="000D4515"/>
    <w:rsid w:val="000E41BD"/>
    <w:rsid w:val="000F45A3"/>
    <w:rsid w:val="000F569D"/>
    <w:rsid w:val="000F5945"/>
    <w:rsid w:val="0011356B"/>
    <w:rsid w:val="00116F98"/>
    <w:rsid w:val="0013337F"/>
    <w:rsid w:val="00147787"/>
    <w:rsid w:val="0016665E"/>
    <w:rsid w:val="0016754F"/>
    <w:rsid w:val="00180C17"/>
    <w:rsid w:val="00182B84"/>
    <w:rsid w:val="001946F2"/>
    <w:rsid w:val="001B37FB"/>
    <w:rsid w:val="001B621A"/>
    <w:rsid w:val="001D0F5C"/>
    <w:rsid w:val="001E291F"/>
    <w:rsid w:val="001E7021"/>
    <w:rsid w:val="001F7B69"/>
    <w:rsid w:val="002106B0"/>
    <w:rsid w:val="002205A2"/>
    <w:rsid w:val="002222E3"/>
    <w:rsid w:val="00233408"/>
    <w:rsid w:val="00236C2A"/>
    <w:rsid w:val="00237417"/>
    <w:rsid w:val="00244BC8"/>
    <w:rsid w:val="00245297"/>
    <w:rsid w:val="0027067B"/>
    <w:rsid w:val="0027377B"/>
    <w:rsid w:val="00275F1E"/>
    <w:rsid w:val="002835EB"/>
    <w:rsid w:val="00291287"/>
    <w:rsid w:val="002A15FB"/>
    <w:rsid w:val="002A6940"/>
    <w:rsid w:val="002C4949"/>
    <w:rsid w:val="002E249B"/>
    <w:rsid w:val="00304385"/>
    <w:rsid w:val="00311BE2"/>
    <w:rsid w:val="0031665C"/>
    <w:rsid w:val="00320249"/>
    <w:rsid w:val="00327CFA"/>
    <w:rsid w:val="003361B7"/>
    <w:rsid w:val="00345912"/>
    <w:rsid w:val="003572B4"/>
    <w:rsid w:val="003616BF"/>
    <w:rsid w:val="0036320A"/>
    <w:rsid w:val="00371F2B"/>
    <w:rsid w:val="00377B63"/>
    <w:rsid w:val="00383F10"/>
    <w:rsid w:val="003929E8"/>
    <w:rsid w:val="003A24BC"/>
    <w:rsid w:val="003B2805"/>
    <w:rsid w:val="003B707A"/>
    <w:rsid w:val="00421993"/>
    <w:rsid w:val="00430CDD"/>
    <w:rsid w:val="00435466"/>
    <w:rsid w:val="00454728"/>
    <w:rsid w:val="004551EC"/>
    <w:rsid w:val="004619DA"/>
    <w:rsid w:val="00467032"/>
    <w:rsid w:val="0046754A"/>
    <w:rsid w:val="00472D58"/>
    <w:rsid w:val="00482144"/>
    <w:rsid w:val="004829F6"/>
    <w:rsid w:val="0048478B"/>
    <w:rsid w:val="004854E4"/>
    <w:rsid w:val="00495EA4"/>
    <w:rsid w:val="00496B48"/>
    <w:rsid w:val="004A1D9B"/>
    <w:rsid w:val="004A31FF"/>
    <w:rsid w:val="004A501F"/>
    <w:rsid w:val="004C1B9D"/>
    <w:rsid w:val="004D7EED"/>
    <w:rsid w:val="004E2E3B"/>
    <w:rsid w:val="004F203A"/>
    <w:rsid w:val="00501962"/>
    <w:rsid w:val="00512FF5"/>
    <w:rsid w:val="00526CD7"/>
    <w:rsid w:val="005336B8"/>
    <w:rsid w:val="0054594A"/>
    <w:rsid w:val="00552B8F"/>
    <w:rsid w:val="00557456"/>
    <w:rsid w:val="00561428"/>
    <w:rsid w:val="00561EDF"/>
    <w:rsid w:val="005B04B9"/>
    <w:rsid w:val="005B68C7"/>
    <w:rsid w:val="005B7054"/>
    <w:rsid w:val="005D0152"/>
    <w:rsid w:val="005D08F3"/>
    <w:rsid w:val="005D5981"/>
    <w:rsid w:val="005E3159"/>
    <w:rsid w:val="005F30CB"/>
    <w:rsid w:val="005F51E1"/>
    <w:rsid w:val="00612644"/>
    <w:rsid w:val="00630C92"/>
    <w:rsid w:val="00674CCD"/>
    <w:rsid w:val="00680031"/>
    <w:rsid w:val="006909AF"/>
    <w:rsid w:val="006A18DC"/>
    <w:rsid w:val="006B542E"/>
    <w:rsid w:val="006B546B"/>
    <w:rsid w:val="006B6443"/>
    <w:rsid w:val="006C6905"/>
    <w:rsid w:val="006D41B4"/>
    <w:rsid w:val="006D54EF"/>
    <w:rsid w:val="006D6742"/>
    <w:rsid w:val="006E3654"/>
    <w:rsid w:val="006F5826"/>
    <w:rsid w:val="00700181"/>
    <w:rsid w:val="00700214"/>
    <w:rsid w:val="0070510E"/>
    <w:rsid w:val="007141CF"/>
    <w:rsid w:val="00723B9C"/>
    <w:rsid w:val="00725E05"/>
    <w:rsid w:val="007335C6"/>
    <w:rsid w:val="00745146"/>
    <w:rsid w:val="0074635B"/>
    <w:rsid w:val="0074783C"/>
    <w:rsid w:val="007512E4"/>
    <w:rsid w:val="007571F0"/>
    <w:rsid w:val="007577E3"/>
    <w:rsid w:val="007601AB"/>
    <w:rsid w:val="00760DB3"/>
    <w:rsid w:val="00765F82"/>
    <w:rsid w:val="00767204"/>
    <w:rsid w:val="00791827"/>
    <w:rsid w:val="00794076"/>
    <w:rsid w:val="007A5AC1"/>
    <w:rsid w:val="007C0DCD"/>
    <w:rsid w:val="007C10A7"/>
    <w:rsid w:val="007C79F0"/>
    <w:rsid w:val="007D05B6"/>
    <w:rsid w:val="007E6507"/>
    <w:rsid w:val="007F2B8E"/>
    <w:rsid w:val="007F2DB0"/>
    <w:rsid w:val="00801A7D"/>
    <w:rsid w:val="00801CBB"/>
    <w:rsid w:val="00807247"/>
    <w:rsid w:val="008309AB"/>
    <w:rsid w:val="00840C2B"/>
    <w:rsid w:val="00850889"/>
    <w:rsid w:val="00871316"/>
    <w:rsid w:val="008739FD"/>
    <w:rsid w:val="00890762"/>
    <w:rsid w:val="00894BE6"/>
    <w:rsid w:val="008A601F"/>
    <w:rsid w:val="008A7BB6"/>
    <w:rsid w:val="008B3EFB"/>
    <w:rsid w:val="008E372C"/>
    <w:rsid w:val="00920FD4"/>
    <w:rsid w:val="00926764"/>
    <w:rsid w:val="009341CF"/>
    <w:rsid w:val="00947C09"/>
    <w:rsid w:val="0099649E"/>
    <w:rsid w:val="009A4C10"/>
    <w:rsid w:val="009A6F54"/>
    <w:rsid w:val="009A7E67"/>
    <w:rsid w:val="009B0823"/>
    <w:rsid w:val="009B5B36"/>
    <w:rsid w:val="009C580F"/>
    <w:rsid w:val="009E1E34"/>
    <w:rsid w:val="009F0AC2"/>
    <w:rsid w:val="00A21EA9"/>
    <w:rsid w:val="00A239AB"/>
    <w:rsid w:val="00A46EBC"/>
    <w:rsid w:val="00A535B2"/>
    <w:rsid w:val="00A53DCE"/>
    <w:rsid w:val="00A6057A"/>
    <w:rsid w:val="00A67E6F"/>
    <w:rsid w:val="00A74017"/>
    <w:rsid w:val="00A7446A"/>
    <w:rsid w:val="00A77376"/>
    <w:rsid w:val="00A8408D"/>
    <w:rsid w:val="00A97A1E"/>
    <w:rsid w:val="00AA332C"/>
    <w:rsid w:val="00AB1CF0"/>
    <w:rsid w:val="00AB7546"/>
    <w:rsid w:val="00AC24C7"/>
    <w:rsid w:val="00AC27F8"/>
    <w:rsid w:val="00AD4C72"/>
    <w:rsid w:val="00AD5914"/>
    <w:rsid w:val="00AD7E51"/>
    <w:rsid w:val="00AE20ED"/>
    <w:rsid w:val="00AE2AEE"/>
    <w:rsid w:val="00AE70AB"/>
    <w:rsid w:val="00AF5519"/>
    <w:rsid w:val="00B1394B"/>
    <w:rsid w:val="00B230EC"/>
    <w:rsid w:val="00B43A8F"/>
    <w:rsid w:val="00B50DC4"/>
    <w:rsid w:val="00B53268"/>
    <w:rsid w:val="00B56EDC"/>
    <w:rsid w:val="00B676A4"/>
    <w:rsid w:val="00B67C16"/>
    <w:rsid w:val="00B71951"/>
    <w:rsid w:val="00B749B1"/>
    <w:rsid w:val="00BB1F84"/>
    <w:rsid w:val="00BE034B"/>
    <w:rsid w:val="00BE5468"/>
    <w:rsid w:val="00BF614C"/>
    <w:rsid w:val="00C11EAC"/>
    <w:rsid w:val="00C2616A"/>
    <w:rsid w:val="00C305D7"/>
    <w:rsid w:val="00C30F2A"/>
    <w:rsid w:val="00C31C86"/>
    <w:rsid w:val="00C43456"/>
    <w:rsid w:val="00C474F3"/>
    <w:rsid w:val="00C65BCF"/>
    <w:rsid w:val="00C65C0C"/>
    <w:rsid w:val="00C755BA"/>
    <w:rsid w:val="00C808FC"/>
    <w:rsid w:val="00C8560D"/>
    <w:rsid w:val="00CA3B7A"/>
    <w:rsid w:val="00CB7D71"/>
    <w:rsid w:val="00CC1238"/>
    <w:rsid w:val="00CC5DCA"/>
    <w:rsid w:val="00CD00C7"/>
    <w:rsid w:val="00CD7D97"/>
    <w:rsid w:val="00CE3EE6"/>
    <w:rsid w:val="00CE4BA1"/>
    <w:rsid w:val="00CE588E"/>
    <w:rsid w:val="00CF66A3"/>
    <w:rsid w:val="00D000C7"/>
    <w:rsid w:val="00D0131F"/>
    <w:rsid w:val="00D040A5"/>
    <w:rsid w:val="00D0565A"/>
    <w:rsid w:val="00D13592"/>
    <w:rsid w:val="00D15BF7"/>
    <w:rsid w:val="00D21A1F"/>
    <w:rsid w:val="00D41B4F"/>
    <w:rsid w:val="00D52A9D"/>
    <w:rsid w:val="00D55AAD"/>
    <w:rsid w:val="00D728F1"/>
    <w:rsid w:val="00D747AE"/>
    <w:rsid w:val="00D80DC9"/>
    <w:rsid w:val="00D85EB7"/>
    <w:rsid w:val="00D867C5"/>
    <w:rsid w:val="00D9226C"/>
    <w:rsid w:val="00DA20BD"/>
    <w:rsid w:val="00DA5348"/>
    <w:rsid w:val="00DB43A9"/>
    <w:rsid w:val="00DC1B03"/>
    <w:rsid w:val="00DC4D38"/>
    <w:rsid w:val="00DD79CC"/>
    <w:rsid w:val="00DE50DB"/>
    <w:rsid w:val="00DF19E2"/>
    <w:rsid w:val="00DF6AE1"/>
    <w:rsid w:val="00E00740"/>
    <w:rsid w:val="00E2150E"/>
    <w:rsid w:val="00E24A72"/>
    <w:rsid w:val="00E46FD5"/>
    <w:rsid w:val="00E544BB"/>
    <w:rsid w:val="00E5505D"/>
    <w:rsid w:val="00E56545"/>
    <w:rsid w:val="00E63628"/>
    <w:rsid w:val="00E71D04"/>
    <w:rsid w:val="00E767C3"/>
    <w:rsid w:val="00E85004"/>
    <w:rsid w:val="00E87A3E"/>
    <w:rsid w:val="00E94CD0"/>
    <w:rsid w:val="00EA4543"/>
    <w:rsid w:val="00EA5518"/>
    <w:rsid w:val="00EA5D4F"/>
    <w:rsid w:val="00EB3223"/>
    <w:rsid w:val="00EB6C56"/>
    <w:rsid w:val="00EB6F21"/>
    <w:rsid w:val="00EB7B3E"/>
    <w:rsid w:val="00EC5991"/>
    <w:rsid w:val="00EC7DC4"/>
    <w:rsid w:val="00ED2A97"/>
    <w:rsid w:val="00ED54E0"/>
    <w:rsid w:val="00F00E61"/>
    <w:rsid w:val="00F01C13"/>
    <w:rsid w:val="00F06DDF"/>
    <w:rsid w:val="00F25DD7"/>
    <w:rsid w:val="00F32397"/>
    <w:rsid w:val="00F32A9F"/>
    <w:rsid w:val="00F40595"/>
    <w:rsid w:val="00F544F0"/>
    <w:rsid w:val="00F9172E"/>
    <w:rsid w:val="00FA2C94"/>
    <w:rsid w:val="00FA5EBC"/>
    <w:rsid w:val="00FD224A"/>
    <w:rsid w:val="00FD55D7"/>
    <w:rsid w:val="00FD6CF3"/>
    <w:rsid w:val="00FD79BF"/>
    <w:rsid w:val="00FF3C6C"/>
    <w:rsid w:val="00FF4616"/>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BFB2"/>
  <w15:chartTrackingRefBased/>
  <w15:docId w15:val="{286B23BD-E42B-4E5C-86B5-AA3C53E4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B36"/>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19"/>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D'Orsi, Matthew</dc:creator>
  <cp:keywords/>
  <dc:description/>
  <cp:lastModifiedBy>Pereyra, Maria</cp:lastModifiedBy>
  <cp:revision>2</cp:revision>
  <dcterms:created xsi:type="dcterms:W3CDTF">2019-10-01T11:07:00Z</dcterms:created>
  <dcterms:modified xsi:type="dcterms:W3CDTF">2019-10-01T11:07:00Z</dcterms:modified>
</cp:coreProperties>
</file>